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46" w:rsidRDefault="002A3746" w:rsidP="007C47CB">
      <w:pPr>
        <w:shd w:val="clear" w:color="auto" w:fill="FFFFFF"/>
        <w:spacing w:after="0" w:line="240" w:lineRule="auto"/>
        <w:jc w:val="both"/>
        <w:rPr>
          <w:rFonts w:ascii="Helvetica" w:eastAsia="Times New Roman" w:hAnsi="Helvetica" w:cs="Helvetica"/>
          <w:color w:val="000000"/>
          <w:sz w:val="20"/>
          <w:szCs w:val="20"/>
        </w:rPr>
      </w:pPr>
      <w:r>
        <w:rPr>
          <w:rFonts w:ascii="Helvetica" w:eastAsia="Times New Roman" w:hAnsi="Helvetica" w:cs="Helvetica"/>
          <w:color w:val="000000"/>
          <w:sz w:val="20"/>
          <w:szCs w:val="20"/>
        </w:rPr>
        <w:t>Date: 10.8.23</w:t>
      </w:r>
    </w:p>
    <w:p w:rsidR="002A3746" w:rsidRDefault="002A3746" w:rsidP="007C47CB">
      <w:pPr>
        <w:shd w:val="clear" w:color="auto" w:fill="FFFFFF"/>
        <w:spacing w:after="0" w:line="240" w:lineRule="auto"/>
        <w:jc w:val="both"/>
        <w:rPr>
          <w:rFonts w:ascii="Helvetica" w:eastAsia="Times New Roman" w:hAnsi="Helvetica" w:cs="Helvetica"/>
          <w:color w:val="000000"/>
          <w:sz w:val="20"/>
          <w:szCs w:val="20"/>
        </w:rPr>
      </w:pPr>
    </w:p>
    <w:p w:rsidR="002A3746" w:rsidRDefault="002A3746" w:rsidP="007C47CB">
      <w:pPr>
        <w:shd w:val="clear" w:color="auto" w:fill="FFFFFF"/>
        <w:spacing w:after="0" w:line="240" w:lineRule="auto"/>
        <w:jc w:val="both"/>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366/ HPC hearing 11.8.23 / conduct proceedings in public view – </w:t>
      </w:r>
      <w:proofErr w:type="spellStart"/>
      <w:r>
        <w:rPr>
          <w:rFonts w:ascii="Helvetica" w:eastAsia="Times New Roman" w:hAnsi="Helvetica" w:cs="Helvetica"/>
          <w:color w:val="000000"/>
          <w:sz w:val="20"/>
          <w:szCs w:val="20"/>
        </w:rPr>
        <w:t>Daga</w:t>
      </w:r>
      <w:proofErr w:type="spellEnd"/>
      <w:r>
        <w:rPr>
          <w:rFonts w:ascii="Helvetica" w:eastAsia="Times New Roman" w:hAnsi="Helvetica" w:cs="Helvetica"/>
          <w:color w:val="000000"/>
          <w:sz w:val="20"/>
          <w:szCs w:val="20"/>
        </w:rPr>
        <w:t xml:space="preserve"> order/ PIL HPC &amp; ACB folder and file </w:t>
      </w:r>
    </w:p>
    <w:p w:rsidR="002A3746" w:rsidRDefault="002A3746" w:rsidP="007C47CB">
      <w:pPr>
        <w:shd w:val="clear" w:color="auto" w:fill="FFFFFF"/>
        <w:spacing w:after="0" w:line="240" w:lineRule="auto"/>
        <w:jc w:val="both"/>
        <w:rPr>
          <w:rFonts w:ascii="Helvetica" w:eastAsia="Times New Roman" w:hAnsi="Helvetica" w:cs="Helvetica"/>
          <w:color w:val="000000"/>
          <w:sz w:val="20"/>
          <w:szCs w:val="20"/>
        </w:rPr>
      </w:pP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Pr>
          <w:rFonts w:ascii="Helvetica" w:eastAsia="Times New Roman" w:hAnsi="Helvetica" w:cs="Helvetica"/>
          <w:color w:val="000000"/>
          <w:sz w:val="20"/>
          <w:szCs w:val="20"/>
        </w:rPr>
        <w:t>To,</w:t>
      </w: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The Hon. Members of HPC </w:t>
      </w: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FA0A65" w:rsidRPr="00FA0A65" w:rsidRDefault="007C47CB" w:rsidP="007C47CB">
      <w:pPr>
        <w:shd w:val="clear" w:color="auto" w:fill="FFFFFF"/>
        <w:spacing w:after="0" w:line="240" w:lineRule="auto"/>
        <w:jc w:val="both"/>
        <w:rPr>
          <w:rFonts w:ascii="Helvetica" w:eastAsia="Times New Roman" w:hAnsi="Helvetica" w:cs="Helvetica"/>
          <w:b/>
          <w:color w:val="000000"/>
          <w:sz w:val="20"/>
          <w:szCs w:val="20"/>
        </w:rPr>
      </w:pPr>
      <w:r w:rsidRPr="00FA0A65">
        <w:rPr>
          <w:rFonts w:ascii="Helvetica" w:eastAsia="Times New Roman" w:hAnsi="Helvetica" w:cs="Helvetica"/>
          <w:b/>
          <w:color w:val="000000"/>
          <w:sz w:val="20"/>
          <w:szCs w:val="20"/>
        </w:rPr>
        <w:t xml:space="preserve">Sub: </w:t>
      </w:r>
      <w:r w:rsidRPr="007C47CB">
        <w:rPr>
          <w:rFonts w:ascii="Helvetica" w:eastAsia="Times New Roman" w:hAnsi="Helvetica" w:cs="Helvetica"/>
          <w:b/>
          <w:color w:val="000000"/>
          <w:sz w:val="20"/>
          <w:szCs w:val="20"/>
        </w:rPr>
        <w:t>my submission </w:t>
      </w:r>
      <w:r w:rsidR="00FA0A65" w:rsidRPr="00FA0A65">
        <w:rPr>
          <w:rFonts w:ascii="Helvetica" w:eastAsia="Times New Roman" w:hAnsi="Helvetica" w:cs="Helvetica"/>
          <w:b/>
          <w:color w:val="000000"/>
          <w:sz w:val="20"/>
          <w:szCs w:val="20"/>
        </w:rPr>
        <w:t xml:space="preserve">that my hearing </w:t>
      </w:r>
    </w:p>
    <w:p w:rsidR="007C47CB" w:rsidRPr="00FA0A65" w:rsidRDefault="00FA0A65" w:rsidP="00FA0A65">
      <w:pPr>
        <w:pStyle w:val="ListParagraph"/>
        <w:numPr>
          <w:ilvl w:val="0"/>
          <w:numId w:val="1"/>
        </w:numPr>
        <w:shd w:val="clear" w:color="auto" w:fill="FFFFFF"/>
        <w:spacing w:after="0" w:line="240" w:lineRule="auto"/>
        <w:jc w:val="both"/>
        <w:rPr>
          <w:rFonts w:ascii="Helvetica" w:eastAsia="Times New Roman" w:hAnsi="Helvetica" w:cs="Helvetica"/>
          <w:b/>
          <w:color w:val="000000"/>
          <w:sz w:val="20"/>
          <w:szCs w:val="20"/>
        </w:rPr>
      </w:pPr>
      <w:r>
        <w:rPr>
          <w:rFonts w:ascii="Helvetica" w:eastAsia="Times New Roman" w:hAnsi="Helvetica" w:cs="Helvetica"/>
          <w:b/>
          <w:color w:val="000000"/>
          <w:sz w:val="20"/>
          <w:szCs w:val="20"/>
        </w:rPr>
        <w:t xml:space="preserve">HPC </w:t>
      </w:r>
      <w:r w:rsidRPr="00FA0A65">
        <w:rPr>
          <w:rFonts w:ascii="Helvetica" w:eastAsia="Times New Roman" w:hAnsi="Helvetica" w:cs="Helvetica"/>
          <w:b/>
          <w:color w:val="000000"/>
          <w:sz w:val="20"/>
          <w:szCs w:val="20"/>
        </w:rPr>
        <w:t xml:space="preserve">hearing shall be conducted with </w:t>
      </w:r>
      <w:r w:rsidR="007C47CB" w:rsidRPr="00FA0A65">
        <w:rPr>
          <w:rFonts w:ascii="Helvetica" w:eastAsia="Times New Roman" w:hAnsi="Helvetica" w:cs="Helvetica"/>
          <w:b/>
          <w:color w:val="000000"/>
          <w:sz w:val="20"/>
          <w:szCs w:val="20"/>
        </w:rPr>
        <w:t xml:space="preserve">open door hearing in full view of public </w:t>
      </w:r>
    </w:p>
    <w:p w:rsidR="00FA0A65" w:rsidRPr="00FA0A65" w:rsidRDefault="007B6CC9" w:rsidP="00FA0A65">
      <w:pPr>
        <w:pStyle w:val="ListParagraph"/>
        <w:numPr>
          <w:ilvl w:val="0"/>
          <w:numId w:val="1"/>
        </w:numPr>
        <w:shd w:val="clear" w:color="auto" w:fill="FFFFFF"/>
        <w:spacing w:after="0" w:line="240" w:lineRule="auto"/>
        <w:jc w:val="both"/>
        <w:rPr>
          <w:rFonts w:ascii="Helvetica" w:eastAsia="Times New Roman" w:hAnsi="Helvetica" w:cs="Helvetica"/>
          <w:b/>
          <w:color w:val="000000"/>
          <w:sz w:val="20"/>
          <w:szCs w:val="20"/>
        </w:rPr>
      </w:pPr>
      <w:r>
        <w:rPr>
          <w:rFonts w:ascii="Helvetica" w:eastAsia="Times New Roman" w:hAnsi="Helvetica" w:cs="Helvetica"/>
          <w:b/>
          <w:color w:val="000000"/>
          <w:sz w:val="20"/>
          <w:szCs w:val="20"/>
        </w:rPr>
        <w:t xml:space="preserve">HPC shall pass </w:t>
      </w:r>
      <w:r w:rsidR="00FA0A65" w:rsidRPr="00FA0A65">
        <w:rPr>
          <w:rFonts w:ascii="Helvetica" w:eastAsia="Times New Roman" w:hAnsi="Helvetica" w:cs="Helvetica"/>
          <w:b/>
          <w:color w:val="000000"/>
          <w:sz w:val="20"/>
          <w:szCs w:val="20"/>
        </w:rPr>
        <w:t xml:space="preserve">orders as per guidelines of Justice </w:t>
      </w:r>
      <w:proofErr w:type="spellStart"/>
      <w:r w:rsidR="00FA0A65" w:rsidRPr="00FA0A65">
        <w:rPr>
          <w:rFonts w:ascii="Helvetica" w:eastAsia="Times New Roman" w:hAnsi="Helvetica" w:cs="Helvetica"/>
          <w:b/>
          <w:color w:val="000000"/>
          <w:sz w:val="20"/>
          <w:szCs w:val="20"/>
        </w:rPr>
        <w:t>Daga</w:t>
      </w:r>
      <w:proofErr w:type="spellEnd"/>
      <w:r w:rsidR="00FA0A65" w:rsidRPr="00FA0A65">
        <w:rPr>
          <w:rFonts w:ascii="Helvetica" w:eastAsia="Times New Roman" w:hAnsi="Helvetica" w:cs="Helvetica"/>
          <w:b/>
          <w:color w:val="000000"/>
          <w:sz w:val="20"/>
          <w:szCs w:val="20"/>
        </w:rPr>
        <w:t xml:space="preserve"> order in W.P. 4101 of 2007 para 17 &amp; 19</w:t>
      </w:r>
      <w:r w:rsidR="00FA0A65">
        <w:rPr>
          <w:rFonts w:ascii="Helvetica" w:eastAsia="Times New Roman" w:hAnsi="Helvetica" w:cs="Helvetica"/>
          <w:b/>
          <w:color w:val="000000"/>
          <w:sz w:val="20"/>
          <w:szCs w:val="20"/>
        </w:rPr>
        <w:t xml:space="preserve">. </w:t>
      </w:r>
      <w:r w:rsidR="0084263D">
        <w:rPr>
          <w:rFonts w:ascii="Helvetica" w:eastAsia="Times New Roman" w:hAnsi="Helvetica" w:cs="Helvetica"/>
          <w:b/>
          <w:color w:val="000000"/>
          <w:sz w:val="20"/>
          <w:szCs w:val="20"/>
        </w:rPr>
        <w:t>(attached</w:t>
      </w:r>
      <w:r w:rsidR="00FA0A65">
        <w:rPr>
          <w:rFonts w:ascii="Helvetica" w:eastAsia="Times New Roman" w:hAnsi="Helvetica" w:cs="Helvetica"/>
          <w:b/>
          <w:color w:val="000000"/>
          <w:sz w:val="20"/>
          <w:szCs w:val="20"/>
        </w:rPr>
        <w:t xml:space="preserve"> Justice </w:t>
      </w:r>
      <w:proofErr w:type="spellStart"/>
      <w:r w:rsidR="00FA0A65">
        <w:rPr>
          <w:rFonts w:ascii="Helvetica" w:eastAsia="Times New Roman" w:hAnsi="Helvetica" w:cs="Helvetica"/>
          <w:b/>
          <w:color w:val="000000"/>
          <w:sz w:val="20"/>
          <w:szCs w:val="20"/>
        </w:rPr>
        <w:t>Daga</w:t>
      </w:r>
      <w:proofErr w:type="spellEnd"/>
      <w:r w:rsidR="00FA0A65">
        <w:rPr>
          <w:rFonts w:ascii="Helvetica" w:eastAsia="Times New Roman" w:hAnsi="Helvetica" w:cs="Helvetica"/>
          <w:b/>
          <w:color w:val="000000"/>
          <w:sz w:val="20"/>
          <w:szCs w:val="20"/>
        </w:rPr>
        <w:t xml:space="preserve"> </w:t>
      </w:r>
      <w:r w:rsidR="002A3746">
        <w:rPr>
          <w:rFonts w:ascii="Helvetica" w:eastAsia="Times New Roman" w:hAnsi="Helvetica" w:cs="Helvetica"/>
          <w:b/>
          <w:color w:val="000000"/>
          <w:sz w:val="20"/>
          <w:szCs w:val="20"/>
        </w:rPr>
        <w:t>order)</w:t>
      </w:r>
      <w:r w:rsidR="00FA0A65">
        <w:rPr>
          <w:rFonts w:ascii="Helvetica" w:eastAsia="Times New Roman" w:hAnsi="Helvetica" w:cs="Helvetica"/>
          <w:b/>
          <w:color w:val="000000"/>
          <w:sz w:val="20"/>
          <w:szCs w:val="20"/>
        </w:rPr>
        <w:t xml:space="preserve"> </w:t>
      </w: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In India, the principle of open court hearings is an important aspect of the legal system, ensuring transparency, accountability, and public trust. Here are some relevant laws, rules, and judicial decisions related to open court hearings in India:</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**Laws and Rules**:</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1. **Contempt of Courts Act, 1971**: This act outlines the powers of courts to punish individuals for contemptuous behavior that interferes with the administration of justice. It also provides provisions to ensure the dignity and respect of the courts.</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2. **Code of Civil Procedure, 1908**: Section 153 of this code generally provides for open court proceedings. However, it allows for certain cases to be heard in private when required.</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3. **Code of Criminal Procedure, 1973**: Section 327 of this code outlines the provisions for open court proceedings in criminal cases. It allows the court to hold proceedings in camera (in private) in certain situations, such as cases involving rape or matters affecting the security of the State.</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4. **Supreme Court Rules, 2013**: Rule 8 of Order VI outlines the procedure for open court proceedings in the Supreme Court of India. It states that the sittings of the Court shall be open to the public.</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5. **High Court Rules**: Each High Court in India may have its own rules and regulations regarding open court hearings. These rules can vary from one state to another.</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**Judicial Precedents and Case Law**:</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1. **</w:t>
      </w:r>
      <w:proofErr w:type="spellStart"/>
      <w:r w:rsidRPr="007C47CB">
        <w:rPr>
          <w:rFonts w:ascii="Helvetica" w:eastAsia="Times New Roman" w:hAnsi="Helvetica" w:cs="Helvetica"/>
          <w:color w:val="000000"/>
          <w:sz w:val="20"/>
          <w:szCs w:val="20"/>
        </w:rPr>
        <w:t>Naresh</w:t>
      </w:r>
      <w:proofErr w:type="spellEnd"/>
      <w:r w:rsidRPr="007C47CB">
        <w:rPr>
          <w:rFonts w:ascii="Helvetica" w:eastAsia="Times New Roman" w:hAnsi="Helvetica" w:cs="Helvetica"/>
          <w:color w:val="000000"/>
          <w:sz w:val="20"/>
          <w:szCs w:val="20"/>
        </w:rPr>
        <w:t xml:space="preserve"> </w:t>
      </w:r>
      <w:proofErr w:type="spellStart"/>
      <w:r w:rsidRPr="007C47CB">
        <w:rPr>
          <w:rFonts w:ascii="Helvetica" w:eastAsia="Times New Roman" w:hAnsi="Helvetica" w:cs="Helvetica"/>
          <w:color w:val="000000"/>
          <w:sz w:val="20"/>
          <w:szCs w:val="20"/>
        </w:rPr>
        <w:t>Shridhar</w:t>
      </w:r>
      <w:proofErr w:type="spellEnd"/>
      <w:r w:rsidRPr="007C47CB">
        <w:rPr>
          <w:rFonts w:ascii="Helvetica" w:eastAsia="Times New Roman" w:hAnsi="Helvetica" w:cs="Helvetica"/>
          <w:color w:val="000000"/>
          <w:sz w:val="20"/>
          <w:szCs w:val="20"/>
        </w:rPr>
        <w:t xml:space="preserve"> </w:t>
      </w:r>
      <w:proofErr w:type="spellStart"/>
      <w:r w:rsidRPr="007C47CB">
        <w:rPr>
          <w:rFonts w:ascii="Helvetica" w:eastAsia="Times New Roman" w:hAnsi="Helvetica" w:cs="Helvetica"/>
          <w:color w:val="000000"/>
          <w:sz w:val="20"/>
          <w:szCs w:val="20"/>
        </w:rPr>
        <w:t>Mirajkar</w:t>
      </w:r>
      <w:proofErr w:type="spellEnd"/>
      <w:r w:rsidRPr="007C47CB">
        <w:rPr>
          <w:rFonts w:ascii="Helvetica" w:eastAsia="Times New Roman" w:hAnsi="Helvetica" w:cs="Helvetica"/>
          <w:color w:val="000000"/>
          <w:sz w:val="20"/>
          <w:szCs w:val="20"/>
        </w:rPr>
        <w:t xml:space="preserve"> v. State of Maharashtra (</w:t>
      </w:r>
      <w:proofErr w:type="gramStart"/>
      <w:r w:rsidRPr="007C47CB">
        <w:rPr>
          <w:rFonts w:ascii="Helvetica" w:eastAsia="Times New Roman" w:hAnsi="Helvetica" w:cs="Helvetica"/>
          <w:color w:val="000000"/>
          <w:sz w:val="20"/>
          <w:szCs w:val="20"/>
        </w:rPr>
        <w:t>1966)*</w:t>
      </w:r>
      <w:proofErr w:type="gramEnd"/>
      <w:r w:rsidRPr="007C47CB">
        <w:rPr>
          <w:rFonts w:ascii="Helvetica" w:eastAsia="Times New Roman" w:hAnsi="Helvetica" w:cs="Helvetica"/>
          <w:color w:val="000000"/>
          <w:sz w:val="20"/>
          <w:szCs w:val="20"/>
        </w:rPr>
        <w:t>*: The Supreme Court held that open court hearings are a basic principle of the Indian legal system, essential for ensuring fairness and justice. It emphasized that exceptions to open court hearings should be rare and justifiable.</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2. **</w:t>
      </w:r>
      <w:proofErr w:type="spellStart"/>
      <w:r w:rsidRPr="007C47CB">
        <w:rPr>
          <w:rFonts w:ascii="Helvetica" w:eastAsia="Times New Roman" w:hAnsi="Helvetica" w:cs="Helvetica"/>
          <w:color w:val="000000"/>
          <w:sz w:val="20"/>
          <w:szCs w:val="20"/>
        </w:rPr>
        <w:t>Swapnil</w:t>
      </w:r>
      <w:proofErr w:type="spellEnd"/>
      <w:r w:rsidRPr="007C47CB">
        <w:rPr>
          <w:rFonts w:ascii="Helvetica" w:eastAsia="Times New Roman" w:hAnsi="Helvetica" w:cs="Helvetica"/>
          <w:color w:val="000000"/>
          <w:sz w:val="20"/>
          <w:szCs w:val="20"/>
        </w:rPr>
        <w:t xml:space="preserve"> </w:t>
      </w:r>
      <w:proofErr w:type="spellStart"/>
      <w:r w:rsidRPr="007C47CB">
        <w:rPr>
          <w:rFonts w:ascii="Helvetica" w:eastAsia="Times New Roman" w:hAnsi="Helvetica" w:cs="Helvetica"/>
          <w:color w:val="000000"/>
          <w:sz w:val="20"/>
          <w:szCs w:val="20"/>
        </w:rPr>
        <w:t>Tripathi</w:t>
      </w:r>
      <w:proofErr w:type="spellEnd"/>
      <w:r w:rsidRPr="007C47CB">
        <w:rPr>
          <w:rFonts w:ascii="Helvetica" w:eastAsia="Times New Roman" w:hAnsi="Helvetica" w:cs="Helvetica"/>
          <w:color w:val="000000"/>
          <w:sz w:val="20"/>
          <w:szCs w:val="20"/>
        </w:rPr>
        <w:t xml:space="preserve"> v. Supreme Court of India (</w:t>
      </w:r>
      <w:proofErr w:type="gramStart"/>
      <w:r w:rsidRPr="007C47CB">
        <w:rPr>
          <w:rFonts w:ascii="Helvetica" w:eastAsia="Times New Roman" w:hAnsi="Helvetica" w:cs="Helvetica"/>
          <w:color w:val="000000"/>
          <w:sz w:val="20"/>
          <w:szCs w:val="20"/>
        </w:rPr>
        <w:t>2018)*</w:t>
      </w:r>
      <w:proofErr w:type="gramEnd"/>
      <w:r w:rsidRPr="007C47CB">
        <w:rPr>
          <w:rFonts w:ascii="Helvetica" w:eastAsia="Times New Roman" w:hAnsi="Helvetica" w:cs="Helvetica"/>
          <w:color w:val="000000"/>
          <w:sz w:val="20"/>
          <w:szCs w:val="20"/>
        </w:rPr>
        <w:t>*: The Supreme Court reaffirmed the importance of open court proceedings and held that exceptions to open court hearings must be based on specific reasons and should be subject to review.</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3. **Sahara India Real Estate Corp. Ltd. v. SEBI (</w:t>
      </w:r>
      <w:proofErr w:type="gramStart"/>
      <w:r w:rsidRPr="007C47CB">
        <w:rPr>
          <w:rFonts w:ascii="Helvetica" w:eastAsia="Times New Roman" w:hAnsi="Helvetica" w:cs="Helvetica"/>
          <w:color w:val="000000"/>
          <w:sz w:val="20"/>
          <w:szCs w:val="20"/>
        </w:rPr>
        <w:t>2012)*</w:t>
      </w:r>
      <w:proofErr w:type="gramEnd"/>
      <w:r w:rsidRPr="007C47CB">
        <w:rPr>
          <w:rFonts w:ascii="Helvetica" w:eastAsia="Times New Roman" w:hAnsi="Helvetica" w:cs="Helvetica"/>
          <w:color w:val="000000"/>
          <w:sz w:val="20"/>
          <w:szCs w:val="20"/>
        </w:rPr>
        <w:t>*: The Supreme Court held that open court hearings enhance public confidence in the administration of justice and act as a check against arbitrary decisions.</w:t>
      </w:r>
    </w:p>
    <w:p w:rsidR="007C47CB" w:rsidRPr="007C47CB" w:rsidRDefault="007C47CB" w:rsidP="007C47CB">
      <w:pPr>
        <w:shd w:val="clear" w:color="auto" w:fill="FFFFFF"/>
        <w:spacing w:after="0" w:line="240" w:lineRule="auto"/>
        <w:jc w:val="both"/>
        <w:rPr>
          <w:rFonts w:ascii="Helvetica" w:eastAsia="Times New Roman" w:hAnsi="Helvetica" w:cs="Helvetica"/>
          <w:color w:val="000000"/>
          <w:sz w:val="20"/>
          <w:szCs w:val="20"/>
        </w:rPr>
      </w:pPr>
    </w:p>
    <w:p w:rsidR="007C47CB" w:rsidRDefault="007C47CB" w:rsidP="007C47CB">
      <w:pPr>
        <w:shd w:val="clear" w:color="auto" w:fill="FFFFFF"/>
        <w:spacing w:after="0" w:line="240" w:lineRule="auto"/>
        <w:jc w:val="both"/>
        <w:rPr>
          <w:rFonts w:ascii="Helvetica" w:eastAsia="Times New Roman" w:hAnsi="Helvetica" w:cs="Helvetica"/>
          <w:color w:val="000000"/>
          <w:sz w:val="20"/>
          <w:szCs w:val="20"/>
        </w:rPr>
      </w:pPr>
      <w:r w:rsidRPr="007C47CB">
        <w:rPr>
          <w:rFonts w:ascii="Helvetica" w:eastAsia="Times New Roman" w:hAnsi="Helvetica" w:cs="Helvetica"/>
          <w:color w:val="000000"/>
          <w:sz w:val="20"/>
          <w:szCs w:val="20"/>
        </w:rPr>
        <w:t>4. **Common Cause v. Union of India (</w:t>
      </w:r>
      <w:proofErr w:type="gramStart"/>
      <w:r w:rsidRPr="007C47CB">
        <w:rPr>
          <w:rFonts w:ascii="Helvetica" w:eastAsia="Times New Roman" w:hAnsi="Helvetica" w:cs="Helvetica"/>
          <w:color w:val="000000"/>
          <w:sz w:val="20"/>
          <w:szCs w:val="20"/>
        </w:rPr>
        <w:t>2017)*</w:t>
      </w:r>
      <w:proofErr w:type="gramEnd"/>
      <w:r w:rsidRPr="007C47CB">
        <w:rPr>
          <w:rFonts w:ascii="Helvetica" w:eastAsia="Times New Roman" w:hAnsi="Helvetica" w:cs="Helvetica"/>
          <w:color w:val="000000"/>
          <w:sz w:val="20"/>
          <w:szCs w:val="20"/>
        </w:rPr>
        <w:t>*: The Supreme Court emphasized that court proceedings should be open to the public unless exceptional circumstances justify closure.</w:t>
      </w:r>
    </w:p>
    <w:p w:rsidR="00113708" w:rsidRPr="007C47CB" w:rsidRDefault="00113708" w:rsidP="007C47CB">
      <w:pPr>
        <w:shd w:val="clear" w:color="auto" w:fill="FFFFFF"/>
        <w:spacing w:after="0" w:line="240" w:lineRule="auto"/>
        <w:jc w:val="both"/>
        <w:rPr>
          <w:rFonts w:ascii="Helvetica" w:eastAsia="Times New Roman" w:hAnsi="Helvetica" w:cs="Helvetica"/>
          <w:color w:val="000000"/>
          <w:sz w:val="20"/>
          <w:szCs w:val="20"/>
        </w:rPr>
      </w:pPr>
    </w:p>
    <w:p w:rsidR="000017DD" w:rsidRPr="00817A9C" w:rsidRDefault="007C47CB" w:rsidP="00817A9C">
      <w:pPr>
        <w:shd w:val="clear" w:color="auto" w:fill="FFFFFF"/>
        <w:spacing w:after="0" w:line="240" w:lineRule="auto"/>
        <w:jc w:val="both"/>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Hence, </w:t>
      </w:r>
      <w:r w:rsidR="00113708">
        <w:rPr>
          <w:rFonts w:ascii="Helvetica" w:eastAsia="Times New Roman" w:hAnsi="Helvetica" w:cs="Helvetica"/>
          <w:color w:val="000000"/>
          <w:sz w:val="20"/>
          <w:szCs w:val="20"/>
        </w:rPr>
        <w:t xml:space="preserve">I pray </w:t>
      </w:r>
      <w:r>
        <w:rPr>
          <w:rFonts w:ascii="Helvetica" w:eastAsia="Times New Roman" w:hAnsi="Helvetica" w:cs="Helvetica"/>
          <w:color w:val="000000"/>
          <w:sz w:val="20"/>
          <w:szCs w:val="20"/>
        </w:rPr>
        <w:t>the proceedings shall be conducted in full public view</w:t>
      </w:r>
      <w:r w:rsidR="00FA0A65">
        <w:rPr>
          <w:rFonts w:ascii="Helvetica" w:eastAsia="Times New Roman" w:hAnsi="Helvetica" w:cs="Helvetica"/>
          <w:color w:val="000000"/>
          <w:sz w:val="20"/>
          <w:szCs w:val="20"/>
        </w:rPr>
        <w:t xml:space="preserve"> and orders</w:t>
      </w:r>
      <w:r w:rsidR="00113708">
        <w:rPr>
          <w:rFonts w:ascii="Helvetica" w:eastAsia="Times New Roman" w:hAnsi="Helvetica" w:cs="Helvetica"/>
          <w:color w:val="000000"/>
          <w:sz w:val="20"/>
          <w:szCs w:val="20"/>
        </w:rPr>
        <w:t xml:space="preserve"> be passed as per direction of Justice </w:t>
      </w:r>
      <w:bookmarkStart w:id="0" w:name="_GoBack"/>
      <w:bookmarkEnd w:id="0"/>
      <w:proofErr w:type="spellStart"/>
      <w:r w:rsidR="00817A9C">
        <w:rPr>
          <w:rFonts w:ascii="Helvetica" w:eastAsia="Times New Roman" w:hAnsi="Helvetica" w:cs="Helvetica"/>
          <w:color w:val="000000"/>
          <w:sz w:val="20"/>
          <w:szCs w:val="20"/>
        </w:rPr>
        <w:t>Daga</w:t>
      </w:r>
      <w:proofErr w:type="spellEnd"/>
      <w:r w:rsidR="00817A9C">
        <w:rPr>
          <w:rFonts w:ascii="Helvetica" w:eastAsia="Times New Roman" w:hAnsi="Helvetica" w:cs="Helvetica"/>
          <w:color w:val="000000"/>
          <w:sz w:val="20"/>
          <w:szCs w:val="20"/>
        </w:rPr>
        <w:t xml:space="preserve"> in</w:t>
      </w:r>
      <w:r w:rsidR="00113708">
        <w:rPr>
          <w:rFonts w:ascii="Helvetica" w:eastAsia="Times New Roman" w:hAnsi="Helvetica" w:cs="Helvetica"/>
          <w:color w:val="000000"/>
          <w:sz w:val="20"/>
          <w:szCs w:val="20"/>
        </w:rPr>
        <w:t xml:space="preserve"> W.P. 4101</w:t>
      </w:r>
      <w:r w:rsidR="00817A9C">
        <w:rPr>
          <w:rFonts w:ascii="Helvetica" w:eastAsia="Times New Roman" w:hAnsi="Helvetica" w:cs="Helvetica"/>
          <w:color w:val="000000"/>
          <w:sz w:val="20"/>
          <w:szCs w:val="20"/>
        </w:rPr>
        <w:t>of 2007.</w:t>
      </w:r>
    </w:p>
    <w:sectPr w:rsidR="000017DD" w:rsidRPr="0081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C1B70"/>
    <w:multiLevelType w:val="hybridMultilevel"/>
    <w:tmpl w:val="80AE1C4A"/>
    <w:lvl w:ilvl="0" w:tplc="C33A45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CB"/>
    <w:rsid w:val="00113708"/>
    <w:rsid w:val="00274633"/>
    <w:rsid w:val="002A3746"/>
    <w:rsid w:val="007B6CC9"/>
    <w:rsid w:val="007C47CB"/>
    <w:rsid w:val="00817A9C"/>
    <w:rsid w:val="0084263D"/>
    <w:rsid w:val="00CD196A"/>
    <w:rsid w:val="00CE6A9B"/>
    <w:rsid w:val="00FA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B96E"/>
  <w15:chartTrackingRefBased/>
  <w15:docId w15:val="{B9DDE11F-19A3-4443-B862-395F6C9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2023-08-10T14:54:00Z</dcterms:created>
  <dcterms:modified xsi:type="dcterms:W3CDTF">2023-08-10T15:09:00Z</dcterms:modified>
</cp:coreProperties>
</file>