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61" w:rsidRPr="00226CEC" w:rsidRDefault="00223B61" w:rsidP="00226CEC">
      <w:pPr>
        <w:jc w:val="both"/>
        <w:rPr>
          <w:b/>
          <w:sz w:val="24"/>
          <w:szCs w:val="24"/>
          <w:u w:val="single"/>
        </w:rPr>
      </w:pPr>
      <w:r w:rsidRPr="00226CEC">
        <w:rPr>
          <w:b/>
          <w:sz w:val="24"/>
          <w:szCs w:val="24"/>
          <w:u w:val="single"/>
        </w:rPr>
        <w:t xml:space="preserve">The PIO cannot deny information on grounds </w:t>
      </w:r>
      <w:r w:rsidR="00863F5D" w:rsidRPr="00226CEC">
        <w:rPr>
          <w:b/>
          <w:sz w:val="24"/>
          <w:szCs w:val="24"/>
          <w:u w:val="single"/>
        </w:rPr>
        <w:t xml:space="preserve">other than </w:t>
      </w:r>
      <w:r w:rsidRPr="00226CEC">
        <w:rPr>
          <w:b/>
          <w:sz w:val="24"/>
          <w:szCs w:val="24"/>
          <w:u w:val="single"/>
        </w:rPr>
        <w:t xml:space="preserve">mentioned in section 8 &amp; 9. </w:t>
      </w:r>
      <w:proofErr w:type="gramStart"/>
      <w:r w:rsidRPr="00226CEC">
        <w:rPr>
          <w:b/>
          <w:sz w:val="24"/>
          <w:szCs w:val="24"/>
          <w:u w:val="single"/>
        </w:rPr>
        <w:t>Therefore</w:t>
      </w:r>
      <w:proofErr w:type="gramEnd"/>
      <w:r w:rsidRPr="00226CEC">
        <w:rPr>
          <w:b/>
          <w:sz w:val="24"/>
          <w:szCs w:val="24"/>
          <w:u w:val="single"/>
        </w:rPr>
        <w:t xml:space="preserve"> rejection of information on the following grounds is illegal, void and bad in law.</w:t>
      </w:r>
    </w:p>
    <w:p w:rsidR="00223B61" w:rsidRDefault="00223B61" w:rsidP="00223B61">
      <w:pPr>
        <w:jc w:val="both"/>
        <w:rPr>
          <w:b/>
          <w:sz w:val="24"/>
          <w:szCs w:val="24"/>
          <w:u w:val="single"/>
        </w:rPr>
      </w:pPr>
    </w:p>
    <w:p w:rsidR="00223B61" w:rsidRPr="00223B61" w:rsidRDefault="00223B61" w:rsidP="00223B6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23B61">
        <w:rPr>
          <w:sz w:val="24"/>
          <w:szCs w:val="24"/>
        </w:rPr>
        <w:t>The information is not on one subject.</w:t>
      </w:r>
    </w:p>
    <w:p w:rsidR="00223B61" w:rsidRDefault="00223B61" w:rsidP="00223B6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information is more than 150 words.</w:t>
      </w:r>
    </w:p>
    <w:p w:rsidR="0046338E" w:rsidRDefault="0046338E" w:rsidP="0046338E">
      <w:pPr>
        <w:jc w:val="both"/>
        <w:rPr>
          <w:sz w:val="24"/>
          <w:szCs w:val="24"/>
        </w:rPr>
      </w:pPr>
    </w:p>
    <w:p w:rsidR="0046338E" w:rsidRPr="0046338E" w:rsidRDefault="0046338E" w:rsidP="004633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Arguments </w:t>
      </w:r>
    </w:p>
    <w:p w:rsidR="00223B61" w:rsidRDefault="00223B61" w:rsidP="00223B61">
      <w:pPr>
        <w:jc w:val="both"/>
        <w:rPr>
          <w:sz w:val="24"/>
          <w:szCs w:val="24"/>
        </w:rPr>
      </w:pPr>
    </w:p>
    <w:p w:rsidR="00223B61" w:rsidRPr="0046338E" w:rsidRDefault="00223B61" w:rsidP="00223B6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6338E">
        <w:rPr>
          <w:sz w:val="24"/>
          <w:szCs w:val="24"/>
        </w:rPr>
        <w:t>The PIO, FAA and Hon. Information Commissioners have no authority to introduce new grounds for denial</w:t>
      </w:r>
      <w:r w:rsidR="00635F2F" w:rsidRPr="0046338E">
        <w:rPr>
          <w:sz w:val="24"/>
          <w:szCs w:val="24"/>
        </w:rPr>
        <w:t xml:space="preserve"> other than mentioned in section 8 &amp; 9 of RTI act</w:t>
      </w:r>
      <w:r w:rsidRPr="0046338E">
        <w:rPr>
          <w:sz w:val="24"/>
          <w:szCs w:val="24"/>
        </w:rPr>
        <w:t>.</w:t>
      </w:r>
      <w:r w:rsidR="00880769">
        <w:rPr>
          <w:sz w:val="24"/>
          <w:szCs w:val="24"/>
        </w:rPr>
        <w:t xml:space="preserve">  Refer section 7(1) RTI act</w:t>
      </w:r>
    </w:p>
    <w:p w:rsidR="003A5F5B" w:rsidRPr="0046338E" w:rsidRDefault="003A5F5B" w:rsidP="003A5F5B">
      <w:pPr>
        <w:pStyle w:val="ListParagraph"/>
        <w:ind w:left="1080"/>
        <w:jc w:val="both"/>
        <w:rPr>
          <w:sz w:val="24"/>
          <w:szCs w:val="24"/>
        </w:rPr>
      </w:pPr>
    </w:p>
    <w:p w:rsidR="009C0B70" w:rsidRPr="0046338E" w:rsidRDefault="009C0B70" w:rsidP="00223B6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6338E">
        <w:rPr>
          <w:sz w:val="24"/>
          <w:szCs w:val="24"/>
        </w:rPr>
        <w:t>The above grounds are totally in contradiction to the spirit and purpose of the RTI act for which it has been enacted.</w:t>
      </w:r>
    </w:p>
    <w:p w:rsidR="009C0B70" w:rsidRPr="0046338E" w:rsidRDefault="009C0B70" w:rsidP="009C0B70">
      <w:pPr>
        <w:pStyle w:val="ListParagraph"/>
        <w:rPr>
          <w:sz w:val="24"/>
          <w:szCs w:val="24"/>
        </w:rPr>
      </w:pPr>
    </w:p>
    <w:p w:rsidR="00223B61" w:rsidRPr="0046338E" w:rsidRDefault="00223B61" w:rsidP="00223B6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6338E">
        <w:rPr>
          <w:sz w:val="24"/>
          <w:szCs w:val="24"/>
        </w:rPr>
        <w:t xml:space="preserve">Any circular or </w:t>
      </w:r>
      <w:r w:rsidR="003A5F5B" w:rsidRPr="0046338E">
        <w:rPr>
          <w:sz w:val="24"/>
          <w:szCs w:val="24"/>
        </w:rPr>
        <w:t>directions which are</w:t>
      </w:r>
      <w:r w:rsidRPr="0046338E">
        <w:rPr>
          <w:sz w:val="24"/>
          <w:szCs w:val="24"/>
        </w:rPr>
        <w:t xml:space="preserve"> contradictory to the </w:t>
      </w:r>
      <w:r w:rsidR="00D173B3" w:rsidRPr="0046338E">
        <w:rPr>
          <w:sz w:val="24"/>
          <w:szCs w:val="24"/>
        </w:rPr>
        <w:t xml:space="preserve">original </w:t>
      </w:r>
      <w:r w:rsidRPr="0046338E">
        <w:rPr>
          <w:sz w:val="24"/>
          <w:szCs w:val="24"/>
        </w:rPr>
        <w:t>RTI act is illegal, void, and bad in law and should be challenged with tooth and nail.</w:t>
      </w:r>
    </w:p>
    <w:p w:rsidR="00F80EA7" w:rsidRPr="0046338E" w:rsidRDefault="00F80EA7" w:rsidP="00F80EA7">
      <w:pPr>
        <w:pStyle w:val="ListParagraph"/>
        <w:rPr>
          <w:sz w:val="24"/>
          <w:szCs w:val="24"/>
        </w:rPr>
      </w:pPr>
    </w:p>
    <w:p w:rsidR="00F80EA7" w:rsidRDefault="00F80EA7" w:rsidP="00223B6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6338E">
        <w:rPr>
          <w:sz w:val="24"/>
          <w:szCs w:val="24"/>
        </w:rPr>
        <w:t xml:space="preserve">The Preamble of RTI envisages promotion of free flow of information. </w:t>
      </w:r>
    </w:p>
    <w:p w:rsidR="002C383E" w:rsidRPr="002C383E" w:rsidRDefault="002C383E" w:rsidP="002C383E">
      <w:pPr>
        <w:pStyle w:val="ListParagraph"/>
        <w:rPr>
          <w:sz w:val="24"/>
          <w:szCs w:val="24"/>
        </w:rPr>
      </w:pPr>
    </w:p>
    <w:p w:rsidR="002C383E" w:rsidRPr="0046338E" w:rsidRDefault="002C383E" w:rsidP="00223B6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PIO does not have basic knowledge and common sense that with every increase in application it shall increase the work of the PIO and take more energy and time</w:t>
      </w:r>
      <w:r w:rsidR="00E04EC7">
        <w:rPr>
          <w:sz w:val="24"/>
          <w:szCs w:val="24"/>
        </w:rPr>
        <w:t xml:space="preserve"> by duplication and triplication of the same work as well as increase postal </w:t>
      </w:r>
      <w:r w:rsidR="001F187B">
        <w:rPr>
          <w:sz w:val="24"/>
          <w:szCs w:val="24"/>
        </w:rPr>
        <w:t>expenses.</w:t>
      </w:r>
    </w:p>
    <w:p w:rsidR="00223B61" w:rsidRDefault="00223B61" w:rsidP="00F869E1">
      <w:pPr>
        <w:ind w:left="270"/>
        <w:jc w:val="both"/>
        <w:rPr>
          <w:b/>
          <w:sz w:val="24"/>
          <w:szCs w:val="24"/>
        </w:rPr>
      </w:pPr>
    </w:p>
    <w:p w:rsidR="00F869E1" w:rsidRDefault="00F869E1" w:rsidP="00F869E1">
      <w:pPr>
        <w:ind w:left="270"/>
        <w:rPr>
          <w:sz w:val="24"/>
          <w:szCs w:val="24"/>
        </w:rPr>
      </w:pPr>
    </w:p>
    <w:p w:rsidR="005F4C92" w:rsidRPr="004F046A" w:rsidRDefault="005F4C92" w:rsidP="005F4C92">
      <w:pPr>
        <w:jc w:val="both"/>
        <w:rPr>
          <w:b/>
          <w:sz w:val="24"/>
          <w:szCs w:val="24"/>
          <w:u w:val="single"/>
        </w:rPr>
      </w:pPr>
      <w:r w:rsidRPr="004F046A">
        <w:rPr>
          <w:b/>
          <w:sz w:val="24"/>
          <w:szCs w:val="24"/>
          <w:u w:val="single"/>
        </w:rPr>
        <w:t xml:space="preserve">Arguments opposing the illegal acts of PIO </w:t>
      </w:r>
    </w:p>
    <w:p w:rsidR="005F4C92" w:rsidRDefault="005F4C92" w:rsidP="00F869E1">
      <w:pPr>
        <w:ind w:left="270"/>
        <w:rPr>
          <w:sz w:val="24"/>
          <w:szCs w:val="24"/>
        </w:rPr>
      </w:pPr>
    </w:p>
    <w:p w:rsidR="00F869E1" w:rsidRPr="00AD4E5C" w:rsidRDefault="00F869E1" w:rsidP="00AD4E5C">
      <w:pPr>
        <w:rPr>
          <w:b/>
          <w:sz w:val="24"/>
          <w:szCs w:val="24"/>
          <w:u w:val="single"/>
        </w:rPr>
      </w:pPr>
      <w:r w:rsidRPr="00AD4E5C">
        <w:rPr>
          <w:sz w:val="24"/>
          <w:szCs w:val="24"/>
        </w:rPr>
        <w:t>PIO with dishonest int</w:t>
      </w:r>
      <w:r w:rsidR="0046338E">
        <w:rPr>
          <w:sz w:val="24"/>
          <w:szCs w:val="24"/>
        </w:rPr>
        <w:t>entions and ulterior motive</w:t>
      </w:r>
      <w:r w:rsidRPr="00AD4E5C">
        <w:rPr>
          <w:sz w:val="24"/>
          <w:szCs w:val="24"/>
        </w:rPr>
        <w:t xml:space="preserve"> did not provide the information </w:t>
      </w:r>
      <w:r w:rsidR="00AD4E5C">
        <w:rPr>
          <w:sz w:val="24"/>
          <w:szCs w:val="24"/>
        </w:rPr>
        <w:t xml:space="preserve">on the above wrongful grounds. The reasons for </w:t>
      </w:r>
      <w:r w:rsidR="00C75741">
        <w:rPr>
          <w:sz w:val="24"/>
          <w:szCs w:val="24"/>
        </w:rPr>
        <w:t>calling</w:t>
      </w:r>
      <w:r w:rsidR="00AD4E5C">
        <w:rPr>
          <w:sz w:val="24"/>
          <w:szCs w:val="24"/>
        </w:rPr>
        <w:t xml:space="preserve"> these grounds </w:t>
      </w:r>
      <w:r w:rsidR="001968BA">
        <w:rPr>
          <w:sz w:val="24"/>
          <w:szCs w:val="24"/>
        </w:rPr>
        <w:t>illegal,</w:t>
      </w:r>
      <w:r w:rsidR="00AD4E5C">
        <w:rPr>
          <w:sz w:val="24"/>
          <w:szCs w:val="24"/>
        </w:rPr>
        <w:t xml:space="preserve"> bad in law </w:t>
      </w:r>
    </w:p>
    <w:p w:rsidR="00F869E1" w:rsidRPr="00223B61" w:rsidRDefault="00F869E1" w:rsidP="00F869E1">
      <w:pPr>
        <w:rPr>
          <w:sz w:val="24"/>
          <w:szCs w:val="24"/>
        </w:rPr>
      </w:pPr>
    </w:p>
    <w:p w:rsidR="001968BA" w:rsidRDefault="001968BA" w:rsidP="001968BA">
      <w:pPr>
        <w:pStyle w:val="ListParagraph"/>
        <w:ind w:left="1440"/>
        <w:jc w:val="both"/>
        <w:rPr>
          <w:sz w:val="24"/>
          <w:szCs w:val="24"/>
        </w:rPr>
      </w:pPr>
    </w:p>
    <w:p w:rsidR="001968BA" w:rsidRDefault="001968BA" w:rsidP="001968BA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PIO has not attached copy of the RTI application and not disclosed which is the 2</w:t>
      </w:r>
      <w:r w:rsidRPr="00343C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subject </w:t>
      </w:r>
      <w:r w:rsidR="002C383E">
        <w:rPr>
          <w:sz w:val="24"/>
          <w:szCs w:val="24"/>
        </w:rPr>
        <w:t>and 3</w:t>
      </w:r>
      <w:r w:rsidR="002C383E" w:rsidRPr="002C383E">
        <w:rPr>
          <w:sz w:val="24"/>
          <w:szCs w:val="24"/>
          <w:vertAlign w:val="superscript"/>
        </w:rPr>
        <w:t>rd</w:t>
      </w:r>
      <w:r w:rsidR="002C383E">
        <w:rPr>
          <w:sz w:val="24"/>
          <w:szCs w:val="24"/>
        </w:rPr>
        <w:t xml:space="preserve"> subject </w:t>
      </w:r>
      <w:r>
        <w:rPr>
          <w:sz w:val="24"/>
          <w:szCs w:val="24"/>
        </w:rPr>
        <w:t>in my RTI application.</w:t>
      </w:r>
    </w:p>
    <w:p w:rsidR="001968BA" w:rsidRDefault="001968BA" w:rsidP="001968BA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Without prejudice to my rights and contentions that such denial is illegal the PIO has not mentioned the sub section relied in section 8 &amp; 9 of RTI act.</w:t>
      </w:r>
    </w:p>
    <w:p w:rsidR="001968BA" w:rsidRDefault="001968BA" w:rsidP="001968BA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Without prejudice to my rights and contentions that such denial is illegal the PIO has not provided the information on the one subject as relied upon in the circular.</w:t>
      </w:r>
    </w:p>
    <w:p w:rsidR="00AD4E5C" w:rsidRDefault="00AD4E5C" w:rsidP="00C503A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PIO has failed to provide reason in the reply. </w:t>
      </w:r>
      <w:proofErr w:type="gramStart"/>
      <w:r w:rsidRPr="00AD4E5C">
        <w:rPr>
          <w:b/>
          <w:sz w:val="24"/>
          <w:szCs w:val="24"/>
        </w:rPr>
        <w:t>( Section</w:t>
      </w:r>
      <w:proofErr w:type="gramEnd"/>
      <w:r w:rsidRPr="00AD4E5C">
        <w:rPr>
          <w:b/>
          <w:sz w:val="24"/>
          <w:szCs w:val="24"/>
        </w:rPr>
        <w:t xml:space="preserve"> 7(8)(</w:t>
      </w:r>
      <w:proofErr w:type="spellStart"/>
      <w:r w:rsidRPr="00AD4E5C">
        <w:rPr>
          <w:b/>
          <w:sz w:val="24"/>
          <w:szCs w:val="24"/>
        </w:rPr>
        <w:t>i</w:t>
      </w:r>
      <w:proofErr w:type="spellEnd"/>
      <w:r w:rsidRPr="00AD4E5C">
        <w:rPr>
          <w:b/>
          <w:sz w:val="24"/>
          <w:szCs w:val="24"/>
        </w:rPr>
        <w:t>) RTI act</w:t>
      </w:r>
      <w:r>
        <w:rPr>
          <w:sz w:val="24"/>
          <w:szCs w:val="24"/>
        </w:rPr>
        <w:t xml:space="preserve">. </w:t>
      </w:r>
    </w:p>
    <w:p w:rsidR="00C503AE" w:rsidRDefault="00C503AE" w:rsidP="00C503A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information provided. </w:t>
      </w:r>
      <w:proofErr w:type="gramStart"/>
      <w:r>
        <w:rPr>
          <w:b/>
          <w:sz w:val="24"/>
          <w:szCs w:val="24"/>
          <w:u w:val="single"/>
        </w:rPr>
        <w:t>( violation</w:t>
      </w:r>
      <w:proofErr w:type="gramEnd"/>
      <w:r>
        <w:rPr>
          <w:b/>
          <w:sz w:val="24"/>
          <w:szCs w:val="24"/>
          <w:u w:val="single"/>
        </w:rPr>
        <w:t xml:space="preserve"> of section 7(1) RTI act</w:t>
      </w:r>
      <w:r>
        <w:rPr>
          <w:sz w:val="24"/>
          <w:szCs w:val="24"/>
        </w:rPr>
        <w:t>).</w:t>
      </w:r>
    </w:p>
    <w:p w:rsidR="00E05881" w:rsidRDefault="00E05881" w:rsidP="00C503AE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PIO has committed violation of section 7 (1) RTI which has clearly stated that the information can be denied only under section 8 &amp; 9 RTI act. </w:t>
      </w:r>
    </w:p>
    <w:p w:rsidR="00706890" w:rsidRDefault="00F869E1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706890">
        <w:rPr>
          <w:sz w:val="24"/>
          <w:szCs w:val="24"/>
        </w:rPr>
        <w:t xml:space="preserve">The information sought </w:t>
      </w:r>
      <w:r w:rsidR="00E05881" w:rsidRPr="00706890">
        <w:rPr>
          <w:sz w:val="24"/>
          <w:szCs w:val="24"/>
        </w:rPr>
        <w:t xml:space="preserve">by this applicant is </w:t>
      </w:r>
      <w:r w:rsidRPr="00706890">
        <w:rPr>
          <w:sz w:val="24"/>
          <w:szCs w:val="24"/>
        </w:rPr>
        <w:t>on one subject</w:t>
      </w:r>
      <w:r w:rsidR="00706890" w:rsidRPr="00706890">
        <w:rPr>
          <w:sz w:val="24"/>
          <w:szCs w:val="24"/>
        </w:rPr>
        <w:t xml:space="preserve"> in my opinion. </w:t>
      </w:r>
    </w:p>
    <w:p w:rsidR="00F869E1" w:rsidRDefault="00F869E1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706890">
        <w:rPr>
          <w:sz w:val="24"/>
          <w:szCs w:val="24"/>
        </w:rPr>
        <w:t>The PIO has not provided the definitions</w:t>
      </w:r>
      <w:r w:rsidR="00E05881" w:rsidRPr="00706890">
        <w:rPr>
          <w:sz w:val="24"/>
          <w:szCs w:val="24"/>
        </w:rPr>
        <w:t xml:space="preserve"> / clarifications </w:t>
      </w:r>
      <w:r w:rsidRPr="00706890">
        <w:rPr>
          <w:sz w:val="24"/>
          <w:szCs w:val="24"/>
        </w:rPr>
        <w:t xml:space="preserve">of one subject as required under section 19(5) RTI act. So that the citizens will understand what is one subject. </w:t>
      </w:r>
    </w:p>
    <w:p w:rsidR="00A0586C" w:rsidRDefault="002C383E" w:rsidP="00A0586C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PIO has not provided t</w:t>
      </w:r>
      <w:r w:rsidR="00A0586C">
        <w:rPr>
          <w:sz w:val="24"/>
          <w:szCs w:val="24"/>
        </w:rPr>
        <w:t xml:space="preserve">he definition of one subject and 150 words as defined under RTI act along with sections is not attached as per section 4(1)(b) (iii), (iv), (v) is not attached. </w:t>
      </w:r>
    </w:p>
    <w:p w:rsidR="00945EF4" w:rsidRDefault="00945EF4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procedure and rules and regulation to be followed before the PIO </w:t>
      </w:r>
      <w:r w:rsidR="00B2239C">
        <w:rPr>
          <w:sz w:val="24"/>
          <w:szCs w:val="24"/>
        </w:rPr>
        <w:t xml:space="preserve">can </w:t>
      </w:r>
      <w:r w:rsidR="00E651C7">
        <w:rPr>
          <w:sz w:val="24"/>
          <w:szCs w:val="24"/>
        </w:rPr>
        <w:t>deny</w:t>
      </w:r>
      <w:r>
        <w:rPr>
          <w:sz w:val="24"/>
          <w:szCs w:val="24"/>
        </w:rPr>
        <w:t xml:space="preserve"> the information on the ground of one subject.</w:t>
      </w:r>
    </w:p>
    <w:p w:rsidR="00F869E1" w:rsidRDefault="00E05881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F869E1">
        <w:rPr>
          <w:sz w:val="24"/>
          <w:szCs w:val="24"/>
        </w:rPr>
        <w:t>circular</w:t>
      </w:r>
      <w:r>
        <w:rPr>
          <w:sz w:val="24"/>
          <w:szCs w:val="24"/>
        </w:rPr>
        <w:t xml:space="preserve"> / directions</w:t>
      </w:r>
      <w:r w:rsidR="00F869E1">
        <w:rPr>
          <w:sz w:val="24"/>
          <w:szCs w:val="24"/>
        </w:rPr>
        <w:t xml:space="preserve"> cannot over rule the</w:t>
      </w:r>
      <w:r w:rsidR="00B2239C">
        <w:rPr>
          <w:sz w:val="24"/>
          <w:szCs w:val="24"/>
        </w:rPr>
        <w:t xml:space="preserve"> mandatory provisions of</w:t>
      </w:r>
      <w:r w:rsidR="00F869E1">
        <w:rPr>
          <w:sz w:val="24"/>
          <w:szCs w:val="24"/>
        </w:rPr>
        <w:t xml:space="preserve"> RTI act and deny information on </w:t>
      </w:r>
      <w:r w:rsidR="0088026A">
        <w:rPr>
          <w:sz w:val="24"/>
          <w:szCs w:val="24"/>
        </w:rPr>
        <w:t>grounds other than section 8, 9 of RTI act.</w:t>
      </w:r>
      <w:r w:rsidR="00F869E1">
        <w:rPr>
          <w:sz w:val="24"/>
          <w:szCs w:val="24"/>
        </w:rPr>
        <w:t xml:space="preserve">  </w:t>
      </w:r>
    </w:p>
    <w:p w:rsidR="00F869E1" w:rsidRDefault="00E05881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869E1">
        <w:rPr>
          <w:sz w:val="24"/>
          <w:szCs w:val="24"/>
        </w:rPr>
        <w:t xml:space="preserve">ny circular which is contradictory to the RTI act is illegal and cannot be implemented. </w:t>
      </w:r>
    </w:p>
    <w:p w:rsidR="006F5DB4" w:rsidRDefault="00F869E1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PIO </w:t>
      </w:r>
      <w:r w:rsidR="00706890">
        <w:rPr>
          <w:sz w:val="24"/>
          <w:szCs w:val="24"/>
        </w:rPr>
        <w:t xml:space="preserve">shall have not provided </w:t>
      </w:r>
      <w:r w:rsidR="00AD4E5C">
        <w:rPr>
          <w:sz w:val="24"/>
          <w:szCs w:val="24"/>
        </w:rPr>
        <w:t xml:space="preserve">the </w:t>
      </w:r>
      <w:r w:rsidR="006F5DB4">
        <w:rPr>
          <w:sz w:val="24"/>
          <w:szCs w:val="24"/>
        </w:rPr>
        <w:t xml:space="preserve">procedure </w:t>
      </w:r>
      <w:r w:rsidR="00630B87">
        <w:rPr>
          <w:sz w:val="24"/>
          <w:szCs w:val="24"/>
        </w:rPr>
        <w:t xml:space="preserve">/ rules and regulation </w:t>
      </w:r>
      <w:r w:rsidR="006F5DB4">
        <w:rPr>
          <w:sz w:val="24"/>
          <w:szCs w:val="24"/>
        </w:rPr>
        <w:t xml:space="preserve">he has followed to come to conclusion that the application contains more than </w:t>
      </w:r>
      <w:r w:rsidR="00AD4E5C">
        <w:rPr>
          <w:sz w:val="24"/>
          <w:szCs w:val="24"/>
        </w:rPr>
        <w:t>150 words</w:t>
      </w:r>
      <w:r w:rsidR="006F5DB4">
        <w:rPr>
          <w:sz w:val="24"/>
          <w:szCs w:val="24"/>
        </w:rPr>
        <w:t>. From which heads will 150 words be calculated</w:t>
      </w:r>
    </w:p>
    <w:p w:rsidR="00AD4E5C" w:rsidRDefault="00AD4E5C" w:rsidP="006F5DB4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4E5C" w:rsidRDefault="00AD4E5C" w:rsidP="00AD4E5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whole application shall not be more than 150 words</w:t>
      </w:r>
    </w:p>
    <w:p w:rsidR="00AD4E5C" w:rsidRDefault="00AD4E5C" w:rsidP="00AD4E5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subject matter shall not be more than 150 words.</w:t>
      </w:r>
    </w:p>
    <w:p w:rsidR="00AD4E5C" w:rsidRDefault="00AD4E5C" w:rsidP="00AD4E5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27411">
        <w:rPr>
          <w:sz w:val="24"/>
          <w:szCs w:val="24"/>
        </w:rPr>
        <w:t>description</w:t>
      </w:r>
      <w:r>
        <w:rPr>
          <w:sz w:val="24"/>
          <w:szCs w:val="24"/>
        </w:rPr>
        <w:t xml:space="preserve"> of the information </w:t>
      </w:r>
      <w:r w:rsidR="00A27411">
        <w:rPr>
          <w:sz w:val="24"/>
          <w:szCs w:val="24"/>
        </w:rPr>
        <w:t>required</w:t>
      </w:r>
      <w:r>
        <w:rPr>
          <w:sz w:val="24"/>
          <w:szCs w:val="24"/>
        </w:rPr>
        <w:t xml:space="preserve"> shall not be more than 150 words.</w:t>
      </w:r>
    </w:p>
    <w:p w:rsidR="006F5DB4" w:rsidRDefault="006F5DB4" w:rsidP="00630B87">
      <w:pPr>
        <w:pStyle w:val="ListParagraph"/>
        <w:ind w:left="2621"/>
        <w:jc w:val="both"/>
        <w:rPr>
          <w:sz w:val="24"/>
          <w:szCs w:val="24"/>
        </w:rPr>
      </w:pPr>
    </w:p>
    <w:p w:rsidR="00AD4E5C" w:rsidRDefault="00AD4E5C" w:rsidP="00AD4E5C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PIO shall have not provided sections from the RTI act with regards how will the 150 words be calculated. </w:t>
      </w:r>
    </w:p>
    <w:p w:rsidR="00AD4E5C" w:rsidRDefault="00AD4E5C" w:rsidP="00AD4E5C">
      <w:pPr>
        <w:pStyle w:val="ListParagraph"/>
        <w:ind w:left="1440"/>
        <w:jc w:val="both"/>
        <w:rPr>
          <w:sz w:val="24"/>
          <w:szCs w:val="24"/>
        </w:rPr>
      </w:pPr>
    </w:p>
    <w:p w:rsidR="00E05881" w:rsidRDefault="00E05881" w:rsidP="00F869E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Without prejudice to my rights and contentions </w:t>
      </w:r>
      <w:r w:rsidR="002A3A78">
        <w:rPr>
          <w:sz w:val="24"/>
          <w:szCs w:val="24"/>
        </w:rPr>
        <w:t>that this circular is illegal an</w:t>
      </w:r>
      <w:r>
        <w:rPr>
          <w:sz w:val="24"/>
          <w:szCs w:val="24"/>
        </w:rPr>
        <w:t>d bad in law, I say that t</w:t>
      </w:r>
      <w:r w:rsidR="00F869E1">
        <w:rPr>
          <w:sz w:val="24"/>
          <w:szCs w:val="24"/>
        </w:rPr>
        <w:t xml:space="preserve">he circular attached </w:t>
      </w:r>
      <w:r>
        <w:rPr>
          <w:sz w:val="24"/>
          <w:szCs w:val="24"/>
        </w:rPr>
        <w:t xml:space="preserve">in para 3 states that </w:t>
      </w:r>
    </w:p>
    <w:p w:rsidR="00E05881" w:rsidRDefault="00E05881" w:rsidP="00E05881">
      <w:pPr>
        <w:pStyle w:val="ListParagraph"/>
        <w:ind w:left="1440"/>
        <w:jc w:val="both"/>
        <w:rPr>
          <w:sz w:val="24"/>
          <w:szCs w:val="24"/>
        </w:rPr>
      </w:pPr>
    </w:p>
    <w:p w:rsidR="00E05881" w:rsidRPr="00E05881" w:rsidRDefault="00E05881" w:rsidP="00E05881">
      <w:pPr>
        <w:pStyle w:val="ListParagraph"/>
        <w:ind w:left="1440"/>
        <w:jc w:val="both"/>
        <w:rPr>
          <w:b/>
          <w:sz w:val="24"/>
          <w:szCs w:val="24"/>
        </w:rPr>
      </w:pPr>
      <w:r w:rsidRPr="00E05881">
        <w:rPr>
          <w:b/>
          <w:sz w:val="24"/>
          <w:szCs w:val="24"/>
        </w:rPr>
        <w:t xml:space="preserve">     </w:t>
      </w:r>
      <w:proofErr w:type="gramStart"/>
      <w:r w:rsidRPr="00E05881">
        <w:rPr>
          <w:b/>
          <w:sz w:val="24"/>
          <w:szCs w:val="24"/>
        </w:rPr>
        <w:t>“ Normally</w:t>
      </w:r>
      <w:proofErr w:type="gramEnd"/>
      <w:r w:rsidRPr="00E05881">
        <w:rPr>
          <w:b/>
          <w:sz w:val="24"/>
          <w:szCs w:val="24"/>
        </w:rPr>
        <w:t xml:space="preserve"> the application should not be above 150 words.” </w:t>
      </w:r>
    </w:p>
    <w:p w:rsidR="00E05881" w:rsidRDefault="00E05881" w:rsidP="00E05881">
      <w:pPr>
        <w:pStyle w:val="ListParagraph"/>
        <w:ind w:left="1440"/>
        <w:jc w:val="both"/>
        <w:rPr>
          <w:sz w:val="24"/>
          <w:szCs w:val="24"/>
        </w:rPr>
      </w:pPr>
    </w:p>
    <w:p w:rsidR="00F869E1" w:rsidRDefault="00945EF4" w:rsidP="00E05881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CF7488">
        <w:rPr>
          <w:b/>
          <w:sz w:val="24"/>
          <w:szCs w:val="24"/>
          <w:u w:val="single"/>
        </w:rPr>
        <w:t>This means it is not direction but just an advisory note</w:t>
      </w:r>
      <w:r>
        <w:rPr>
          <w:sz w:val="24"/>
          <w:szCs w:val="24"/>
        </w:rPr>
        <w:t>. T</w:t>
      </w:r>
      <w:r w:rsidR="00E05881">
        <w:rPr>
          <w:sz w:val="24"/>
          <w:szCs w:val="24"/>
        </w:rPr>
        <w:t xml:space="preserve">here is flexibility </w:t>
      </w:r>
      <w:r>
        <w:rPr>
          <w:sz w:val="24"/>
          <w:szCs w:val="24"/>
        </w:rPr>
        <w:t xml:space="preserve">in the circular when it has used </w:t>
      </w:r>
      <w:proofErr w:type="gramStart"/>
      <w:r>
        <w:rPr>
          <w:sz w:val="24"/>
          <w:szCs w:val="24"/>
        </w:rPr>
        <w:t>“ NORMALLY</w:t>
      </w:r>
      <w:proofErr w:type="gramEnd"/>
      <w:r>
        <w:rPr>
          <w:sz w:val="24"/>
          <w:szCs w:val="24"/>
        </w:rPr>
        <w:t xml:space="preserve"> ”. </w:t>
      </w:r>
      <w:r w:rsidR="00F869E1">
        <w:rPr>
          <w:sz w:val="24"/>
          <w:szCs w:val="24"/>
        </w:rPr>
        <w:t xml:space="preserve">Hence without clear directions </w:t>
      </w:r>
      <w:r w:rsidR="00CC0AF3">
        <w:rPr>
          <w:sz w:val="24"/>
          <w:szCs w:val="24"/>
        </w:rPr>
        <w:t xml:space="preserve">of RTI act </w:t>
      </w:r>
      <w:r w:rsidR="00F869E1">
        <w:rPr>
          <w:sz w:val="24"/>
          <w:szCs w:val="24"/>
        </w:rPr>
        <w:t xml:space="preserve">no application can be denied information on the ground of </w:t>
      </w:r>
    </w:p>
    <w:p w:rsidR="00F869E1" w:rsidRDefault="00F869E1" w:rsidP="00F869E1">
      <w:pPr>
        <w:pStyle w:val="ListParagraph"/>
        <w:ind w:left="1440"/>
        <w:jc w:val="both"/>
        <w:rPr>
          <w:sz w:val="24"/>
          <w:szCs w:val="24"/>
        </w:rPr>
      </w:pPr>
    </w:p>
    <w:p w:rsidR="00F869E1" w:rsidRDefault="00F869E1" w:rsidP="00F869E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subject </w:t>
      </w:r>
    </w:p>
    <w:p w:rsidR="00777978" w:rsidRDefault="00F869E1" w:rsidP="00F869E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 words </w:t>
      </w:r>
      <w:bookmarkStart w:id="0" w:name="_GoBack"/>
      <w:bookmarkEnd w:id="0"/>
    </w:p>
    <w:p w:rsidR="00777978" w:rsidRPr="001F187B" w:rsidRDefault="001F187B" w:rsidP="001F187B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PIO has committed offence u/s 166 and 167 IPC and is liable for criminal prosecution in addition to departmental and disciplinary action for making false and incorrect records and writing.</w:t>
      </w:r>
    </w:p>
    <w:sectPr w:rsidR="00777978" w:rsidRPr="001F187B" w:rsidSect="00CF748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0FF"/>
    <w:multiLevelType w:val="hybridMultilevel"/>
    <w:tmpl w:val="53BCA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2A34ED"/>
    <w:multiLevelType w:val="hybridMultilevel"/>
    <w:tmpl w:val="866C66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15A0B9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2A115F"/>
    <w:multiLevelType w:val="hybridMultilevel"/>
    <w:tmpl w:val="58CE3C94"/>
    <w:lvl w:ilvl="0" w:tplc="04090013">
      <w:start w:val="1"/>
      <w:numFmt w:val="upperRoman"/>
      <w:lvlText w:val="%1."/>
      <w:lvlJc w:val="right"/>
      <w:pPr>
        <w:ind w:left="135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E76BE"/>
    <w:multiLevelType w:val="hybridMultilevel"/>
    <w:tmpl w:val="2610A3A8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 w15:restartNumberingAfterBreak="0">
    <w:nsid w:val="41B45D3F"/>
    <w:multiLevelType w:val="hybridMultilevel"/>
    <w:tmpl w:val="58CE3C94"/>
    <w:lvl w:ilvl="0" w:tplc="04090013">
      <w:start w:val="1"/>
      <w:numFmt w:val="upperRoman"/>
      <w:lvlText w:val="%1."/>
      <w:lvlJc w:val="right"/>
      <w:pPr>
        <w:ind w:left="135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3609B"/>
    <w:multiLevelType w:val="hybridMultilevel"/>
    <w:tmpl w:val="977E659C"/>
    <w:lvl w:ilvl="0" w:tplc="58F4E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E97"/>
    <w:multiLevelType w:val="hybridMultilevel"/>
    <w:tmpl w:val="A2EA955C"/>
    <w:lvl w:ilvl="0" w:tplc="940CF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91306F"/>
    <w:multiLevelType w:val="hybridMultilevel"/>
    <w:tmpl w:val="96C8F3EE"/>
    <w:lvl w:ilvl="0" w:tplc="58F4E772">
      <w:start w:val="1"/>
      <w:numFmt w:val="lowerRoman"/>
      <w:lvlText w:val="%1."/>
      <w:lvlJc w:val="left"/>
      <w:pPr>
        <w:ind w:left="2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8" w15:restartNumberingAfterBreak="0">
    <w:nsid w:val="7FCA3532"/>
    <w:multiLevelType w:val="hybridMultilevel"/>
    <w:tmpl w:val="F140D0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9E1"/>
    <w:rsid w:val="00010DFD"/>
    <w:rsid w:val="001968BA"/>
    <w:rsid w:val="001C4EEB"/>
    <w:rsid w:val="001F187B"/>
    <w:rsid w:val="00223B61"/>
    <w:rsid w:val="00226CEC"/>
    <w:rsid w:val="002A3A78"/>
    <w:rsid w:val="002C383E"/>
    <w:rsid w:val="003A5F5B"/>
    <w:rsid w:val="00443938"/>
    <w:rsid w:val="004463CD"/>
    <w:rsid w:val="0046338E"/>
    <w:rsid w:val="004756BF"/>
    <w:rsid w:val="00476E08"/>
    <w:rsid w:val="004C710C"/>
    <w:rsid w:val="00537A13"/>
    <w:rsid w:val="005A42CE"/>
    <w:rsid w:val="005F4C92"/>
    <w:rsid w:val="00630B87"/>
    <w:rsid w:val="00635F2F"/>
    <w:rsid w:val="006B03D2"/>
    <w:rsid w:val="006F5DB4"/>
    <w:rsid w:val="00706890"/>
    <w:rsid w:val="00744DCD"/>
    <w:rsid w:val="00775CBC"/>
    <w:rsid w:val="00777978"/>
    <w:rsid w:val="007B5B45"/>
    <w:rsid w:val="007C79AE"/>
    <w:rsid w:val="00863F5D"/>
    <w:rsid w:val="0088026A"/>
    <w:rsid w:val="00880769"/>
    <w:rsid w:val="00887346"/>
    <w:rsid w:val="0089364A"/>
    <w:rsid w:val="00945EF4"/>
    <w:rsid w:val="009A2F35"/>
    <w:rsid w:val="009C0B70"/>
    <w:rsid w:val="009E70BE"/>
    <w:rsid w:val="009F4222"/>
    <w:rsid w:val="00A0586C"/>
    <w:rsid w:val="00A24BD2"/>
    <w:rsid w:val="00A27411"/>
    <w:rsid w:val="00AA32D1"/>
    <w:rsid w:val="00AD4E5C"/>
    <w:rsid w:val="00B14BD9"/>
    <w:rsid w:val="00B2239C"/>
    <w:rsid w:val="00B268AE"/>
    <w:rsid w:val="00BD04BA"/>
    <w:rsid w:val="00BE08E5"/>
    <w:rsid w:val="00C503AE"/>
    <w:rsid w:val="00C75741"/>
    <w:rsid w:val="00C85C0C"/>
    <w:rsid w:val="00CC0AF3"/>
    <w:rsid w:val="00CF7488"/>
    <w:rsid w:val="00D0398A"/>
    <w:rsid w:val="00D15A5D"/>
    <w:rsid w:val="00D173B3"/>
    <w:rsid w:val="00DB69FA"/>
    <w:rsid w:val="00DC6841"/>
    <w:rsid w:val="00E04EC7"/>
    <w:rsid w:val="00E05881"/>
    <w:rsid w:val="00E25FA5"/>
    <w:rsid w:val="00E651C7"/>
    <w:rsid w:val="00E939DD"/>
    <w:rsid w:val="00F80EA7"/>
    <w:rsid w:val="00F869E1"/>
    <w:rsid w:val="00FA2CBC"/>
    <w:rsid w:val="00FB7F92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A653"/>
  <w15:docId w15:val="{251327FD-C410-466C-A465-C7AF8A0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9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2023-01-21T05:39:00Z</cp:lastPrinted>
  <dcterms:created xsi:type="dcterms:W3CDTF">2020-09-30T08:46:00Z</dcterms:created>
  <dcterms:modified xsi:type="dcterms:W3CDTF">2023-01-21T05:40:00Z</dcterms:modified>
</cp:coreProperties>
</file>