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D44" w:rsidRPr="00454D44" w:rsidRDefault="00454D44" w:rsidP="00454D44">
      <w:pPr>
        <w:spacing w:after="0" w:line="240" w:lineRule="auto"/>
        <w:rPr>
          <w:rFonts w:ascii="Times New Roman" w:eastAsia="Times New Roman" w:hAnsi="Times New Roman" w:cs="Times New Roman"/>
          <w:sz w:val="24"/>
          <w:szCs w:val="24"/>
        </w:rPr>
      </w:pPr>
      <w:r w:rsidRPr="00454D44">
        <w:rPr>
          <w:rFonts w:ascii="Times New Roman" w:eastAsia="Times New Roman" w:hAnsi="Times New Roman" w:cs="Times New Roman"/>
          <w:sz w:val="24"/>
          <w:szCs w:val="24"/>
        </w:rPr>
        <w:t>TO</w:t>
      </w:r>
    </w:p>
    <w:p w:rsidR="00454D44" w:rsidRPr="00454D44" w:rsidRDefault="00454D44" w:rsidP="00454D44">
      <w:pPr>
        <w:spacing w:after="0" w:line="240" w:lineRule="auto"/>
        <w:rPr>
          <w:rFonts w:ascii="Times New Roman" w:eastAsia="Times New Roman" w:hAnsi="Times New Roman" w:cs="Times New Roman"/>
          <w:sz w:val="24"/>
          <w:szCs w:val="24"/>
        </w:rPr>
      </w:pPr>
    </w:p>
    <w:p w:rsidR="00454D44" w:rsidRPr="00454D44" w:rsidRDefault="00454D44" w:rsidP="00454D44">
      <w:pPr>
        <w:spacing w:after="0" w:line="240" w:lineRule="auto"/>
        <w:rPr>
          <w:rFonts w:ascii="Times New Roman" w:eastAsia="Times New Roman" w:hAnsi="Times New Roman" w:cs="Times New Roman"/>
          <w:sz w:val="24"/>
          <w:szCs w:val="24"/>
        </w:rPr>
      </w:pPr>
      <w:r w:rsidRPr="00454D44">
        <w:rPr>
          <w:rFonts w:ascii="Times New Roman" w:eastAsia="Times New Roman" w:hAnsi="Times New Roman" w:cs="Times New Roman"/>
          <w:sz w:val="24"/>
          <w:szCs w:val="24"/>
        </w:rPr>
        <w:t xml:space="preserve">dcp EASTZONE2 </w:t>
      </w:r>
    </w:p>
    <w:p w:rsidR="00454D44" w:rsidRPr="00454D44" w:rsidRDefault="00454D44" w:rsidP="00454D44">
      <w:pPr>
        <w:spacing w:after="0" w:line="240" w:lineRule="auto"/>
        <w:rPr>
          <w:rFonts w:ascii="Times New Roman" w:eastAsia="Times New Roman" w:hAnsi="Times New Roman" w:cs="Times New Roman"/>
          <w:sz w:val="24"/>
          <w:szCs w:val="24"/>
        </w:rPr>
      </w:pPr>
    </w:p>
    <w:p w:rsidR="00454D44" w:rsidRPr="00454D44" w:rsidRDefault="00454D44" w:rsidP="00454D44">
      <w:pPr>
        <w:spacing w:after="0" w:line="240" w:lineRule="auto"/>
        <w:rPr>
          <w:rFonts w:ascii="Times New Roman" w:eastAsia="Times New Roman" w:hAnsi="Times New Roman" w:cs="Times New Roman"/>
          <w:sz w:val="24"/>
          <w:szCs w:val="24"/>
        </w:rPr>
      </w:pPr>
      <w:r w:rsidRPr="00454D44">
        <w:rPr>
          <w:rFonts w:ascii="Times New Roman" w:eastAsia="Times New Roman" w:hAnsi="Times New Roman" w:cs="Times New Roman"/>
          <w:sz w:val="24"/>
          <w:szCs w:val="24"/>
        </w:rPr>
        <w:t xml:space="preserve">ABOVE GHATKOPAR pOLICE STATION </w:t>
      </w:r>
    </w:p>
    <w:p w:rsidR="00454D44" w:rsidRPr="00454D44" w:rsidRDefault="00454D44" w:rsidP="00454D44">
      <w:pPr>
        <w:spacing w:after="0" w:line="240" w:lineRule="auto"/>
        <w:rPr>
          <w:rFonts w:ascii="Times New Roman" w:eastAsia="Times New Roman" w:hAnsi="Times New Roman" w:cs="Times New Roman"/>
          <w:sz w:val="24"/>
          <w:szCs w:val="24"/>
        </w:rPr>
      </w:pPr>
    </w:p>
    <w:p w:rsidR="00454D44" w:rsidRPr="00454D44" w:rsidRDefault="00454D44" w:rsidP="00454D44">
      <w:pPr>
        <w:spacing w:after="0" w:line="240" w:lineRule="auto"/>
        <w:rPr>
          <w:rFonts w:ascii="Times New Roman" w:eastAsia="Times New Roman" w:hAnsi="Times New Roman" w:cs="Times New Roman"/>
          <w:sz w:val="24"/>
          <w:szCs w:val="24"/>
        </w:rPr>
      </w:pPr>
      <w:r w:rsidRPr="00454D44">
        <w:rPr>
          <w:rFonts w:ascii="Times New Roman" w:eastAsia="Times New Roman" w:hAnsi="Times New Roman" w:cs="Times New Roman"/>
          <w:sz w:val="24"/>
          <w:szCs w:val="24"/>
        </w:rPr>
        <w:t xml:space="preserve">CC </w:t>
      </w:r>
    </w:p>
    <w:p w:rsidR="00454D44" w:rsidRPr="00454D44" w:rsidRDefault="00454D44" w:rsidP="00454D44">
      <w:pPr>
        <w:spacing w:after="0" w:line="240" w:lineRule="auto"/>
        <w:rPr>
          <w:rFonts w:ascii="Times New Roman" w:eastAsia="Times New Roman" w:hAnsi="Times New Roman" w:cs="Times New Roman"/>
          <w:sz w:val="24"/>
          <w:szCs w:val="24"/>
        </w:rPr>
      </w:pPr>
      <w:r w:rsidRPr="00454D44">
        <w:rPr>
          <w:rFonts w:ascii="Times New Roman" w:eastAsia="Times New Roman" w:hAnsi="Times New Roman" w:cs="Times New Roman"/>
          <w:sz w:val="24"/>
          <w:szCs w:val="24"/>
        </w:rPr>
        <w:t xml:space="preserve">CHUNABHATTI POLICE STATION </w:t>
      </w:r>
    </w:p>
    <w:p w:rsidR="00454D44" w:rsidRPr="00454D44" w:rsidRDefault="00454D44" w:rsidP="00454D44">
      <w:pPr>
        <w:spacing w:after="0" w:line="240" w:lineRule="auto"/>
        <w:rPr>
          <w:rFonts w:ascii="Times New Roman" w:eastAsia="Times New Roman" w:hAnsi="Times New Roman" w:cs="Times New Roman"/>
          <w:sz w:val="24"/>
          <w:szCs w:val="24"/>
        </w:rPr>
      </w:pPr>
    </w:p>
    <w:p w:rsidR="00454D44" w:rsidRPr="00454D44" w:rsidRDefault="00454D44" w:rsidP="00454D44">
      <w:pPr>
        <w:spacing w:after="0" w:line="240" w:lineRule="auto"/>
        <w:rPr>
          <w:rFonts w:ascii="Times New Roman" w:eastAsia="Times New Roman" w:hAnsi="Times New Roman" w:cs="Times New Roman"/>
          <w:sz w:val="24"/>
          <w:szCs w:val="24"/>
        </w:rPr>
      </w:pPr>
      <w:r w:rsidRPr="00454D44">
        <w:rPr>
          <w:rFonts w:ascii="Times New Roman" w:eastAsia="Times New Roman" w:hAnsi="Times New Roman" w:cs="Times New Roman"/>
          <w:sz w:val="24"/>
          <w:szCs w:val="24"/>
        </w:rPr>
        <w:t>ADDL CP EAST REGION</w:t>
      </w:r>
    </w:p>
    <w:p w:rsidR="00454D44" w:rsidRPr="00454D44" w:rsidRDefault="00454D44" w:rsidP="00454D44">
      <w:pPr>
        <w:spacing w:after="0" w:line="240" w:lineRule="auto"/>
        <w:rPr>
          <w:rFonts w:ascii="Times New Roman" w:eastAsia="Times New Roman" w:hAnsi="Times New Roman" w:cs="Times New Roman"/>
          <w:sz w:val="24"/>
          <w:szCs w:val="24"/>
        </w:rPr>
      </w:pPr>
    </w:p>
    <w:p w:rsidR="00454D44" w:rsidRPr="00454D44" w:rsidRDefault="00454D44" w:rsidP="00454D44">
      <w:pPr>
        <w:spacing w:after="0" w:line="240" w:lineRule="auto"/>
        <w:rPr>
          <w:rFonts w:ascii="Times New Roman" w:eastAsia="Times New Roman" w:hAnsi="Times New Roman" w:cs="Times New Roman"/>
          <w:sz w:val="24"/>
          <w:szCs w:val="24"/>
        </w:rPr>
      </w:pPr>
      <w:r w:rsidRPr="00454D44">
        <w:rPr>
          <w:rFonts w:ascii="Times New Roman" w:eastAsia="Times New Roman" w:hAnsi="Times New Roman" w:cs="Times New Roman"/>
          <w:sz w:val="24"/>
          <w:szCs w:val="24"/>
        </w:rPr>
        <w:t xml:space="preserve">D WING GALAXY </w:t>
      </w:r>
    </w:p>
    <w:p w:rsidR="00454D44" w:rsidRPr="00454D44" w:rsidRDefault="00454D44" w:rsidP="00454D44">
      <w:pPr>
        <w:spacing w:after="0" w:line="240" w:lineRule="auto"/>
        <w:rPr>
          <w:rFonts w:ascii="Times New Roman" w:eastAsia="Times New Roman" w:hAnsi="Times New Roman" w:cs="Times New Roman"/>
          <w:sz w:val="24"/>
          <w:szCs w:val="24"/>
        </w:rPr>
      </w:pPr>
    </w:p>
    <w:p w:rsidR="00454D44" w:rsidRPr="00454D44" w:rsidRDefault="00454D44" w:rsidP="00454D44">
      <w:pPr>
        <w:spacing w:after="0" w:line="240" w:lineRule="auto"/>
        <w:rPr>
          <w:rFonts w:ascii="Helvetica" w:eastAsia="Times New Roman" w:hAnsi="Helvetica" w:cs="Helvetica"/>
          <w:sz w:val="20"/>
          <w:szCs w:val="20"/>
        </w:rPr>
      </w:pPr>
      <w:r w:rsidRPr="00454D44">
        <w:rPr>
          <w:rFonts w:ascii="Helvetica" w:eastAsia="Times New Roman" w:hAnsi="Helvetica" w:cs="Helvetica"/>
          <w:b/>
          <w:bCs/>
          <w:sz w:val="20"/>
          <w:szCs w:val="20"/>
        </w:rPr>
        <w:t>Respected Sir / Madam,</w:t>
      </w:r>
    </w:p>
    <w:p w:rsidR="00454D44" w:rsidRPr="00454D44" w:rsidRDefault="00454D44" w:rsidP="00454D44">
      <w:pPr>
        <w:spacing w:after="0" w:line="240" w:lineRule="auto"/>
        <w:rPr>
          <w:rFonts w:ascii="Helvetica" w:eastAsia="Times New Roman" w:hAnsi="Helvetica" w:cs="Helvetica"/>
          <w:sz w:val="20"/>
          <w:szCs w:val="20"/>
        </w:rPr>
      </w:pPr>
    </w:p>
    <w:p w:rsidR="00454D44" w:rsidRPr="00454D44" w:rsidRDefault="00454D44" w:rsidP="00454D44">
      <w:pPr>
        <w:spacing w:after="0" w:line="240" w:lineRule="auto"/>
        <w:rPr>
          <w:rFonts w:ascii="Helvetica" w:eastAsia="Times New Roman" w:hAnsi="Helvetica" w:cs="Helvetica"/>
          <w:sz w:val="20"/>
          <w:szCs w:val="20"/>
        </w:rPr>
      </w:pPr>
      <w:r w:rsidRPr="00454D44">
        <w:rPr>
          <w:rFonts w:ascii="Helvetica" w:eastAsia="Times New Roman" w:hAnsi="Helvetica" w:cs="Helvetica"/>
          <w:b/>
          <w:bCs/>
          <w:sz w:val="20"/>
          <w:szCs w:val="20"/>
        </w:rPr>
        <w:t>I respectfully submit that Adani Electricity has illegally replaced the existing meter by issuing an incorrect notice under Section 163(3) of the Electricity Act, thereby creating fear of disconnection and compelling the consumer to permit replacement. The detailed legal arguments and supporting documents establishing the illegality are attached herewith. Despite the evidence and complaint already submitted, there is an unexplained delay in registration of FIR, causing grave injustice and annoyance. I therefore request you to immediately register an FIR against the concerned persons of Adani Electricity for the cognizable offences disclosed by the complaint and attached arguments, investigate the entire matter and take action in accordance with law.</w:t>
      </w:r>
    </w:p>
    <w:p w:rsidR="00454D44" w:rsidRPr="00454D44" w:rsidRDefault="00454D44" w:rsidP="00454D44">
      <w:pPr>
        <w:spacing w:after="0" w:line="240" w:lineRule="auto"/>
        <w:rPr>
          <w:rFonts w:ascii="Helvetica" w:eastAsia="Times New Roman" w:hAnsi="Helvetica" w:cs="Helvetica"/>
          <w:sz w:val="20"/>
          <w:szCs w:val="20"/>
        </w:rPr>
      </w:pPr>
    </w:p>
    <w:p w:rsidR="00454D44" w:rsidRPr="00454D44" w:rsidRDefault="00454D44" w:rsidP="00454D44">
      <w:pPr>
        <w:spacing w:after="0" w:line="240" w:lineRule="auto"/>
        <w:rPr>
          <w:rFonts w:ascii="Helvetica" w:eastAsia="Times New Roman" w:hAnsi="Helvetica" w:cs="Helvetica"/>
          <w:sz w:val="20"/>
          <w:szCs w:val="20"/>
        </w:rPr>
      </w:pPr>
    </w:p>
    <w:p w:rsidR="00454D44" w:rsidRPr="00454D44" w:rsidRDefault="00454D44" w:rsidP="00454D44">
      <w:pPr>
        <w:spacing w:before="100" w:beforeAutospacing="1" w:after="300"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SCOPE OF SECTION 163(3), ELECTRICITY ACT 2003 - LIMITED TO ACCESS, NOT TO COMPELLED INSTALLATION OR REPLACEMENT OF METERS BY SMART METERS</w:t>
      </w:r>
    </w:p>
    <w:p w:rsidR="00454D44" w:rsidRPr="00454D44" w:rsidRDefault="00454D44" w:rsidP="00454D44">
      <w:pPr>
        <w:spacing w:before="240" w:after="120"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xml:space="preserve">1. </w:t>
      </w:r>
      <w:r w:rsidRPr="00454D44">
        <w:rPr>
          <w:rFonts w:ascii="Helvetica" w:eastAsia="Times New Roman" w:hAnsi="Helvetica" w:cs="Helvetica"/>
          <w:b/>
          <w:bCs/>
          <w:sz w:val="24"/>
          <w:szCs w:val="24"/>
          <w:u w:val="single"/>
        </w:rPr>
        <w:t>SECTION 163(1) IS CONFINED TO SPECIFIC, ENUMERATED PURPOSES</w:t>
      </w:r>
    </w:p>
    <w:p w:rsidR="00454D44" w:rsidRPr="00454D44" w:rsidRDefault="00454D44" w:rsidP="00454D44">
      <w:pPr>
        <w:spacing w:before="100" w:before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Section 163(1) confines the licensee's power of entry to specific, enumerated purposes only:</w:t>
      </w:r>
    </w:p>
    <w:p w:rsidR="00454D44" w:rsidRPr="00454D44" w:rsidRDefault="00454D44" w:rsidP="00454D44">
      <w:pPr>
        <w:spacing w:after="80" w:line="240" w:lineRule="auto"/>
        <w:ind w:left="540"/>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i. inspecting, testing, repairing or altering the electric supply-lines, meters, fittings, works and apparatus already belonging to the licensee;</w:t>
      </w:r>
    </w:p>
    <w:p w:rsidR="00454D44" w:rsidRPr="00454D44" w:rsidRDefault="00454D44" w:rsidP="00454D44">
      <w:pPr>
        <w:spacing w:after="80" w:line="240" w:lineRule="auto"/>
        <w:ind w:left="540"/>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ii. ascertaining the amount of electricity supplied or the electrical quantity contained in the supply;</w:t>
      </w:r>
    </w:p>
    <w:p w:rsidR="00454D44" w:rsidRPr="00454D44" w:rsidRDefault="00454D44" w:rsidP="00454D44">
      <w:pPr>
        <w:spacing w:after="80" w:line="240" w:lineRule="auto"/>
        <w:ind w:left="540"/>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iii. removing such apparatus where the supply is no longer required or has been lawfully discontinued.</w:t>
      </w:r>
    </w:p>
    <w:p w:rsidR="00454D44" w:rsidRPr="00454D44" w:rsidRDefault="00454D44" w:rsidP="00454D44">
      <w:pPr>
        <w:spacing w:before="240" w:after="120"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xml:space="preserve">2. </w:t>
      </w:r>
      <w:r w:rsidRPr="00454D44">
        <w:rPr>
          <w:rFonts w:ascii="Helvetica" w:eastAsia="Times New Roman" w:hAnsi="Helvetica" w:cs="Helvetica"/>
          <w:b/>
          <w:bCs/>
          <w:sz w:val="24"/>
          <w:szCs w:val="24"/>
          <w:u w:val="single"/>
        </w:rPr>
        <w:t>SECTION 163(3) IS FACILITATIVE, NOT COERCIVE</w:t>
      </w:r>
    </w:p>
    <w:p w:rsidR="00454D44" w:rsidRPr="00454D44" w:rsidRDefault="00454D44" w:rsidP="00454D44">
      <w:pPr>
        <w:spacing w:before="100" w:before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Section 163(3) is a facilitative, not a coercive, provision. It permits disconnection only where a consumer:</w:t>
      </w:r>
    </w:p>
    <w:p w:rsidR="00454D44" w:rsidRPr="00454D44" w:rsidRDefault="00454D44" w:rsidP="00454D44">
      <w:pPr>
        <w:spacing w:after="80" w:line="240" w:lineRule="auto"/>
        <w:ind w:left="540"/>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i. refuses to allow entry under sub-section (1) or (2); or</w:t>
      </w:r>
    </w:p>
    <w:p w:rsidR="00454D44" w:rsidRPr="00454D44" w:rsidRDefault="00454D44" w:rsidP="00454D44">
      <w:pPr>
        <w:spacing w:after="80" w:line="240" w:lineRule="auto"/>
        <w:ind w:left="540"/>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lastRenderedPageBreak/>
        <w:t>ii. having permitted entry, refuses to allow performance of an act which the licensee is authorised by those sub-sections to perform; or</w:t>
      </w:r>
    </w:p>
    <w:p w:rsidR="00454D44" w:rsidRPr="00454D44" w:rsidRDefault="00454D44" w:rsidP="00454D44">
      <w:pPr>
        <w:spacing w:after="80" w:line="240" w:lineRule="auto"/>
        <w:ind w:left="540"/>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iii. fails to give reasonable facilities for such entry or performance.</w:t>
      </w:r>
    </w:p>
    <w:p w:rsidR="00454D44" w:rsidRPr="00454D44" w:rsidRDefault="00454D44" w:rsidP="00454D44">
      <w:pPr>
        <w:spacing w:before="100" w:before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The power exists solely to protect the licensee's access for inspection, testing and ascertainment of supply. It is not a general power to compel a consumer to accept new apparatus, particularly apparatus the consumer has not sought and has expressly declined.</w:t>
      </w:r>
    </w:p>
    <w:p w:rsidR="00454D44" w:rsidRPr="00454D44" w:rsidRDefault="00454D44" w:rsidP="00454D44">
      <w:pPr>
        <w:spacing w:before="240" w:after="120"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xml:space="preserve">3. </w:t>
      </w:r>
      <w:r w:rsidRPr="00454D44">
        <w:rPr>
          <w:rFonts w:ascii="Helvetica" w:eastAsia="Times New Roman" w:hAnsi="Helvetica" w:cs="Helvetica"/>
          <w:b/>
          <w:bCs/>
          <w:sz w:val="24"/>
          <w:szCs w:val="24"/>
          <w:u w:val="single"/>
        </w:rPr>
        <w:t>NO REFUSAL OF ENTRY WHERE ACCESS IS GIVEN AND ONLY THE SMART METER IS DECLINED</w:t>
      </w:r>
    </w:p>
    <w:p w:rsidR="00454D44" w:rsidRPr="00454D44" w:rsidRDefault="00454D44" w:rsidP="00454D44">
      <w:pPr>
        <w:spacing w:before="100" w:before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Where a consumer has permitted entry, has permitted inspection of the existing meter and installation, and has extended full cooperation for these statutory purposes, but has specifically declined the forcible replacement of the existing meter with a smart meter, no refusal of entry and no refusal to allow an act authorised under Section 163(1) or (2) has in fact occurred. The precondition for the exercise of the power under Section 163(3) is therefore factually absent.</w:t>
      </w:r>
    </w:p>
    <w:p w:rsidR="00454D44" w:rsidRPr="00454D44" w:rsidRDefault="00454D44" w:rsidP="00454D44">
      <w:pPr>
        <w:spacing w:before="240" w:after="120"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xml:space="preserve">4. </w:t>
      </w:r>
      <w:r w:rsidRPr="00454D44">
        <w:rPr>
          <w:rFonts w:ascii="Helvetica" w:eastAsia="Times New Roman" w:hAnsi="Helvetica" w:cs="Helvetica"/>
          <w:b/>
          <w:bCs/>
          <w:sz w:val="24"/>
          <w:szCs w:val="24"/>
          <w:u w:val="single"/>
        </w:rPr>
        <w:t>SUCH A NOTICE MISSTATES THE FACTUAL POSITION</w:t>
      </w:r>
    </w:p>
    <w:p w:rsidR="00454D44" w:rsidRPr="00454D44" w:rsidRDefault="00454D44" w:rsidP="00454D44">
      <w:pPr>
        <w:spacing w:before="100" w:before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A notice issued under Section 163(3) in such circumstances necessarily records or implies a refusal of access or inspection which did not occur. The true position, namely that full access was given and only the substitution of the meter was declined, is misrepresented as a refusal falling within Section 163(1)/(2). This is a material misstatement of fact going to the very jurisdictional basis for issuing the notice.</w:t>
      </w:r>
    </w:p>
    <w:p w:rsidR="00454D44" w:rsidRPr="00454D44" w:rsidRDefault="00454D44" w:rsidP="00454D44">
      <w:pPr>
        <w:spacing w:before="240" w:after="120"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xml:space="preserve">5. </w:t>
      </w:r>
      <w:r w:rsidRPr="00454D44">
        <w:rPr>
          <w:rFonts w:ascii="Helvetica" w:eastAsia="Times New Roman" w:hAnsi="Helvetica" w:cs="Helvetica"/>
          <w:b/>
          <w:bCs/>
          <w:sz w:val="24"/>
          <w:szCs w:val="24"/>
          <w:u w:val="single"/>
        </w:rPr>
        <w:t>AN UNCERTIFIED SMART METER CANNOT BE FORCED UNDER SECTION 163</w:t>
      </w:r>
    </w:p>
    <w:p w:rsidR="00454D44" w:rsidRPr="00454D44" w:rsidRDefault="00454D44" w:rsidP="00454D44">
      <w:pPr>
        <w:spacing w:before="100" w:before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Independently, a smart meter that has not been verified and stamped under the Legal Metrology Act 2009 and the Legal Metrology (General) Rules 2011 by the State Legal Metrology Department is not a lawful measuring instrument for billing purposes. It cannot be treated as apparatus belonging to the licensee for supply of electricity which a consumer is statutorily obliged to accept under Section 163. A consumer's refusal to accept an uncertified meter cannot, therefore, found a valid notice under Section 163(3); the refusal, even if it did occur, would be a lawful refusal of an unlawful demand, and not a refusal within the meaning of the section.</w:t>
      </w:r>
    </w:p>
    <w:p w:rsidR="00454D44" w:rsidRPr="00454D44" w:rsidRDefault="00454D44" w:rsidP="00454D44">
      <w:pPr>
        <w:spacing w:after="80" w:line="240" w:lineRule="auto"/>
        <w:ind w:left="540"/>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w:t>
      </w:r>
    </w:p>
    <w:p w:rsidR="00454D44" w:rsidRPr="00454D44" w:rsidRDefault="00454D44" w:rsidP="00454D44">
      <w:pPr>
        <w:spacing w:before="100" w:beforeAutospacing="1" w:after="100" w:after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u w:val="single"/>
        </w:rPr>
        <w:t>Para 6 — "Altering" is not the same as "replacing"</w:t>
      </w:r>
    </w:p>
    <w:p w:rsidR="00454D44" w:rsidRPr="00454D44" w:rsidRDefault="00454D44" w:rsidP="00454D44">
      <w:pPr>
        <w:spacing w:before="100" w:beforeAutospacing="1" w:after="100" w:afterAutospacing="1" w:line="240" w:lineRule="auto"/>
        <w:ind w:left="720"/>
        <w:jc w:val="both"/>
        <w:rPr>
          <w:rFonts w:ascii="Helvetica" w:eastAsia="Times New Roman" w:hAnsi="Helvetica" w:cs="Helvetica"/>
          <w:b/>
          <w:bCs/>
          <w:sz w:val="20"/>
          <w:szCs w:val="20"/>
        </w:rPr>
      </w:pPr>
      <w:r w:rsidRPr="00454D44">
        <w:rPr>
          <w:rFonts w:ascii="Helvetica" w:eastAsia="Times New Roman" w:hAnsi="Helvetica" w:cs="Helvetica"/>
          <w:b/>
          <w:bCs/>
          <w:sz w:val="20"/>
          <w:szCs w:val="20"/>
        </w:rPr>
        <w:t>I.</w:t>
      </w:r>
      <w:r w:rsidRPr="00454D44">
        <w:rPr>
          <w:rFonts w:ascii="Times New Roman" w:eastAsia="Times New Roman" w:hAnsi="Times New Roman" w:cs="Times New Roman"/>
          <w:sz w:val="14"/>
          <w:szCs w:val="14"/>
        </w:rPr>
        <w:t xml:space="preserve">        </w:t>
      </w:r>
      <w:r w:rsidRPr="00454D44">
        <w:rPr>
          <w:rFonts w:ascii="Helvetica" w:eastAsia="Times New Roman" w:hAnsi="Helvetica" w:cs="Helvetica"/>
          <w:b/>
          <w:bCs/>
          <w:sz w:val="24"/>
          <w:szCs w:val="24"/>
        </w:rPr>
        <w:t xml:space="preserve">Altering a meter = you're still working on the </w:t>
      </w:r>
      <w:r w:rsidRPr="00454D44">
        <w:rPr>
          <w:rFonts w:ascii="Helvetica" w:eastAsia="Times New Roman" w:hAnsi="Helvetica" w:cs="Helvetica"/>
          <w:b/>
          <w:bCs/>
          <w:i/>
          <w:iCs/>
          <w:sz w:val="24"/>
          <w:szCs w:val="24"/>
        </w:rPr>
        <w:t>same</w:t>
      </w:r>
      <w:r w:rsidRPr="00454D44">
        <w:rPr>
          <w:rFonts w:ascii="Helvetica" w:eastAsia="Times New Roman" w:hAnsi="Helvetica" w:cs="Helvetica"/>
          <w:b/>
          <w:bCs/>
          <w:sz w:val="24"/>
          <w:szCs w:val="24"/>
        </w:rPr>
        <w:t xml:space="preserve"> meter. You open it up, fix something, adjust something, recalibrate it — but at the end, it's still that same meter, same serial number, same box, still doing its job.</w:t>
      </w:r>
    </w:p>
    <w:p w:rsidR="00454D44" w:rsidRPr="00454D44" w:rsidRDefault="00454D44" w:rsidP="00454D44">
      <w:pPr>
        <w:numPr>
          <w:ilvl w:val="0"/>
          <w:numId w:val="1"/>
        </w:numPr>
        <w:spacing w:before="100" w:beforeAutospacing="1" w:after="100" w:after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lastRenderedPageBreak/>
        <w:t xml:space="preserve">Replacing a meter = you take the old meter </w:t>
      </w:r>
      <w:r w:rsidRPr="00454D44">
        <w:rPr>
          <w:rFonts w:ascii="Helvetica" w:eastAsia="Times New Roman" w:hAnsi="Helvetica" w:cs="Helvetica"/>
          <w:b/>
          <w:bCs/>
          <w:i/>
          <w:iCs/>
          <w:sz w:val="24"/>
          <w:szCs w:val="24"/>
        </w:rPr>
        <w:t>off the wall completely</w:t>
      </w:r>
      <w:r w:rsidRPr="00454D44">
        <w:rPr>
          <w:rFonts w:ascii="Helvetica" w:eastAsia="Times New Roman" w:hAnsi="Helvetica" w:cs="Helvetica"/>
          <w:b/>
          <w:bCs/>
          <w:sz w:val="24"/>
          <w:szCs w:val="24"/>
        </w:rPr>
        <w:t xml:space="preserve"> and put a </w:t>
      </w:r>
      <w:r w:rsidRPr="00454D44">
        <w:rPr>
          <w:rFonts w:ascii="Helvetica" w:eastAsia="Times New Roman" w:hAnsi="Helvetica" w:cs="Helvetica"/>
          <w:b/>
          <w:bCs/>
          <w:i/>
          <w:iCs/>
          <w:sz w:val="24"/>
          <w:szCs w:val="24"/>
        </w:rPr>
        <w:t>brand new, different</w:t>
      </w:r>
      <w:r w:rsidRPr="00454D44">
        <w:rPr>
          <w:rFonts w:ascii="Helvetica" w:eastAsia="Times New Roman" w:hAnsi="Helvetica" w:cs="Helvetica"/>
          <w:b/>
          <w:bCs/>
          <w:sz w:val="24"/>
          <w:szCs w:val="24"/>
        </w:rPr>
        <w:t xml:space="preserve"> meter in its place. The old meter is gone. A new device — new serial number, new make, new certification — has taken over.</w:t>
      </w:r>
    </w:p>
    <w:p w:rsidR="00454D44" w:rsidRPr="00454D44" w:rsidRDefault="00454D44" w:rsidP="00454D44">
      <w:pPr>
        <w:spacing w:before="100" w:beforeAutospacing="1" w:after="100" w:after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These are two completely different actions. The law uses the word "altering." It does not say "replacing" or "substituting." So when Adani (or whoever) says "we're allowed to alter the meter under Section 163," that only covers fixing/adjusting the meter that's already there — it does not cover ripping it out and installing a totally new smart meter instead.</w:t>
      </w:r>
    </w:p>
    <w:p w:rsidR="00454D44" w:rsidRPr="00454D44" w:rsidRDefault="00454D44" w:rsidP="00454D44">
      <w:pPr>
        <w:spacing w:before="100" w:beforeAutospacing="1" w:after="100" w:after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u w:val="single"/>
        </w:rPr>
        <w:t>Para 7 — Reading "altering" together with the words next to it</w:t>
      </w:r>
    </w:p>
    <w:p w:rsidR="00454D44" w:rsidRPr="00454D44" w:rsidRDefault="00454D44" w:rsidP="00454D44">
      <w:pPr>
        <w:spacing w:before="100" w:beforeAutospacing="1" w:after="100" w:after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The law doesn't just say "altering" on its own. It's part of a group of words: "inspecting, testing, repairing or altering."</w:t>
      </w:r>
    </w:p>
    <w:p w:rsidR="00454D44" w:rsidRPr="00454D44" w:rsidRDefault="00454D44" w:rsidP="00454D44">
      <w:pPr>
        <w:spacing w:before="100" w:beforeAutospacing="1" w:after="100" w:after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xml:space="preserve">There's a legal rule that says: when a word sits in a list with other words, you should understand it in the same spirit as its neighbours (this is what lawyers call </w:t>
      </w:r>
      <w:r w:rsidRPr="00454D44">
        <w:rPr>
          <w:rFonts w:ascii="Helvetica" w:eastAsia="Times New Roman" w:hAnsi="Helvetica" w:cs="Helvetica"/>
          <w:b/>
          <w:bCs/>
          <w:i/>
          <w:iCs/>
          <w:sz w:val="24"/>
          <w:szCs w:val="24"/>
        </w:rPr>
        <w:t>noscitur a sociis</w:t>
      </w:r>
      <w:r w:rsidRPr="00454D44">
        <w:rPr>
          <w:rFonts w:ascii="Helvetica" w:eastAsia="Times New Roman" w:hAnsi="Helvetica" w:cs="Helvetica"/>
          <w:b/>
          <w:bCs/>
          <w:sz w:val="24"/>
          <w:szCs w:val="24"/>
        </w:rPr>
        <w:t xml:space="preserve"> — "a word is known by the company it keeps").</w:t>
      </w:r>
    </w:p>
    <w:p w:rsidR="00454D44" w:rsidRPr="00454D44" w:rsidRDefault="00454D44" w:rsidP="00454D44">
      <w:pPr>
        <w:spacing w:before="100" w:beforeAutospacing="1" w:after="100" w:after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Look at the other three words:</w:t>
      </w:r>
    </w:p>
    <w:p w:rsidR="00454D44" w:rsidRPr="00454D44" w:rsidRDefault="00454D44" w:rsidP="00454D44">
      <w:pPr>
        <w:spacing w:before="100" w:beforeAutospacing="1" w:after="100" w:afterAutospacing="1" w:line="240" w:lineRule="auto"/>
        <w:ind w:left="720"/>
        <w:jc w:val="both"/>
        <w:rPr>
          <w:rFonts w:ascii="Helvetica" w:eastAsia="Times New Roman" w:hAnsi="Helvetica" w:cs="Helvetica"/>
          <w:b/>
          <w:bCs/>
          <w:sz w:val="20"/>
          <w:szCs w:val="20"/>
        </w:rPr>
      </w:pPr>
      <w:r w:rsidRPr="00454D44">
        <w:rPr>
          <w:rFonts w:ascii="Helvetica" w:eastAsia="Times New Roman" w:hAnsi="Helvetica" w:cs="Helvetica"/>
          <w:b/>
          <w:bCs/>
          <w:sz w:val="20"/>
          <w:szCs w:val="20"/>
        </w:rPr>
        <w:t>I.</w:t>
      </w:r>
      <w:r w:rsidRPr="00454D44">
        <w:rPr>
          <w:rFonts w:ascii="Times New Roman" w:eastAsia="Times New Roman" w:hAnsi="Times New Roman" w:cs="Times New Roman"/>
          <w:sz w:val="14"/>
          <w:szCs w:val="14"/>
        </w:rPr>
        <w:t xml:space="preserve">        </w:t>
      </w:r>
      <w:r w:rsidRPr="00454D44">
        <w:rPr>
          <w:rFonts w:ascii="Helvetica" w:eastAsia="Times New Roman" w:hAnsi="Helvetica" w:cs="Helvetica"/>
          <w:b/>
          <w:bCs/>
          <w:sz w:val="24"/>
          <w:szCs w:val="24"/>
        </w:rPr>
        <w:t>Inspecting — just looking at the meter. Nothing changes.</w:t>
      </w:r>
    </w:p>
    <w:p w:rsidR="00454D44" w:rsidRPr="00454D44" w:rsidRDefault="00454D44" w:rsidP="00454D44">
      <w:pPr>
        <w:numPr>
          <w:ilvl w:val="0"/>
          <w:numId w:val="2"/>
        </w:numPr>
        <w:spacing w:before="100" w:beforeAutospacing="1" w:after="100" w:after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Testing — checking if it works. Nothing changes.</w:t>
      </w:r>
    </w:p>
    <w:p w:rsidR="00454D44" w:rsidRPr="00454D44" w:rsidRDefault="00454D44" w:rsidP="00454D44">
      <w:pPr>
        <w:numPr>
          <w:ilvl w:val="0"/>
          <w:numId w:val="2"/>
        </w:numPr>
        <w:spacing w:before="100" w:beforeAutospacing="1" w:after="100" w:after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Repairing — fixing the same meter. It's still the same meter afterward.</w:t>
      </w:r>
    </w:p>
    <w:p w:rsidR="00454D44" w:rsidRPr="00454D44" w:rsidRDefault="00454D44" w:rsidP="00454D44">
      <w:pPr>
        <w:spacing w:before="100" w:beforeAutospacing="1" w:after="100" w:after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xml:space="preserve">All three of these are things you do </w:t>
      </w:r>
      <w:r w:rsidRPr="00454D44">
        <w:rPr>
          <w:rFonts w:ascii="Helvetica" w:eastAsia="Times New Roman" w:hAnsi="Helvetica" w:cs="Helvetica"/>
          <w:b/>
          <w:bCs/>
          <w:i/>
          <w:iCs/>
          <w:sz w:val="24"/>
          <w:szCs w:val="24"/>
        </w:rPr>
        <w:t>to</w:t>
      </w:r>
      <w:r w:rsidRPr="00454D44">
        <w:rPr>
          <w:rFonts w:ascii="Helvetica" w:eastAsia="Times New Roman" w:hAnsi="Helvetica" w:cs="Helvetica"/>
          <w:b/>
          <w:bCs/>
          <w:sz w:val="24"/>
          <w:szCs w:val="24"/>
        </w:rPr>
        <w:t xml:space="preserve"> the existing meter, while it </w:t>
      </w:r>
      <w:r w:rsidRPr="00454D44">
        <w:rPr>
          <w:rFonts w:ascii="Helvetica" w:eastAsia="Times New Roman" w:hAnsi="Helvetica" w:cs="Helvetica"/>
          <w:b/>
          <w:bCs/>
          <w:i/>
          <w:iCs/>
          <w:sz w:val="24"/>
          <w:szCs w:val="24"/>
        </w:rPr>
        <w:t>stays the same meter</w:t>
      </w:r>
      <w:r w:rsidRPr="00454D44">
        <w:rPr>
          <w:rFonts w:ascii="Helvetica" w:eastAsia="Times New Roman" w:hAnsi="Helvetica" w:cs="Helvetica"/>
          <w:b/>
          <w:bCs/>
          <w:sz w:val="24"/>
          <w:szCs w:val="24"/>
        </w:rPr>
        <w:t>. So "altering," sitting right next to these three words, must mean the same kind of thing — some change made to the existing meter, not a wholesale swap for a different device.</w:t>
      </w:r>
    </w:p>
    <w:p w:rsidR="00454D44" w:rsidRPr="00454D44" w:rsidRDefault="00454D44" w:rsidP="00454D44">
      <w:pPr>
        <w:spacing w:before="100" w:beforeAutospacing="1" w:after="100" w:after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If the law had meant "we can pull out your meter and put in a different one," it would have used a word like "replace" or "substitute" — not squeezed that meaning into "altering," a word surrounded by three other words that all mean "work on the thing that's already there."</w:t>
      </w:r>
    </w:p>
    <w:p w:rsidR="00454D44" w:rsidRPr="00454D44" w:rsidRDefault="00454D44" w:rsidP="00454D44">
      <w:pPr>
        <w:spacing w:before="100" w:beforeAutospacing="1" w:after="100" w:after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The word "altering" gives Adani permission to service or fix your existing meter — not to take it out and force a smart meter on you instead.</w:t>
      </w:r>
    </w:p>
    <w:p w:rsidR="00454D44" w:rsidRPr="00454D44" w:rsidRDefault="00454D44" w:rsidP="00454D44">
      <w:pPr>
        <w:spacing w:after="80" w:line="240" w:lineRule="auto"/>
        <w:ind w:left="540"/>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word surrounding it is confined to operations on the article that already exists.</w:t>
      </w:r>
    </w:p>
    <w:p w:rsidR="00454D44" w:rsidRPr="00454D44" w:rsidRDefault="00454D44" w:rsidP="00454D44">
      <w:pPr>
        <w:spacing w:after="80" w:line="240" w:lineRule="auto"/>
        <w:ind w:left="540"/>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w:t>
      </w:r>
    </w:p>
    <w:p w:rsidR="00454D44" w:rsidRPr="00454D44" w:rsidRDefault="00454D44" w:rsidP="00454D44">
      <w:pPr>
        <w:spacing w:before="240" w:after="120"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xml:space="preserve">8. </w:t>
      </w:r>
      <w:r w:rsidRPr="00454D44">
        <w:rPr>
          <w:rFonts w:ascii="Helvetica" w:eastAsia="Times New Roman" w:hAnsi="Helvetica" w:cs="Helvetica"/>
          <w:b/>
          <w:bCs/>
          <w:sz w:val="24"/>
          <w:szCs w:val="24"/>
          <w:u w:val="single"/>
        </w:rPr>
        <w:t>THE LEGISLATURE DEALT WITH REMOVAL SEPARATELY AND NARROWLY</w:t>
      </w:r>
    </w:p>
    <w:p w:rsidR="00454D44" w:rsidRPr="00454D44" w:rsidRDefault="00454D44" w:rsidP="00454D44">
      <w:pPr>
        <w:spacing w:before="100" w:before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lastRenderedPageBreak/>
        <w:t>Section 163(1)(c) separately and expressly empowers removal of apparatus, but only where a supply of electricity is no longer required, or where the licensee is authorised to take away and cut off such supply.</w:t>
      </w:r>
    </w:p>
    <w:p w:rsidR="00454D44" w:rsidRPr="00454D44" w:rsidRDefault="00454D44" w:rsidP="00454D44">
      <w:pPr>
        <w:spacing w:after="80" w:line="240" w:lineRule="auto"/>
        <w:ind w:left="540"/>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i. this shows the legislature turned its mind to the removal of apparatus as a distinct power requiring distinct and narrow statutory language, exercisable only when supply is ending, not while it continues;</w:t>
      </w:r>
    </w:p>
    <w:p w:rsidR="00454D44" w:rsidRPr="00454D44" w:rsidRDefault="00454D44" w:rsidP="00454D44">
      <w:pPr>
        <w:spacing w:after="80" w:line="240" w:lineRule="auto"/>
        <w:ind w:left="540"/>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ii. if altering in clause (a) already carried the power to remove an existing meter and install a new one while supply continues, clause (c) would be rendered wholly redundant for meters. A construction that makes another part of the same sub-section otiose is impermissible; the two clauses must be read so that each has independent work to do;</w:t>
      </w:r>
    </w:p>
    <w:p w:rsidR="00454D44" w:rsidRPr="00454D44" w:rsidRDefault="00454D44" w:rsidP="00454D44">
      <w:pPr>
        <w:spacing w:after="80" w:line="240" w:lineRule="auto"/>
        <w:ind w:left="540"/>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iii. it follows that replacement of a meter while supply continues, and is intended to continue, falls outside Section 163(1) altogether - it is neither altering under clause (a), nor removal under clause (c), because clause (c) is confined to cases where supply is not to continue.</w:t>
      </w:r>
    </w:p>
    <w:p w:rsidR="00454D44" w:rsidRPr="00454D44" w:rsidRDefault="00454D44" w:rsidP="00454D44">
      <w:pPr>
        <w:spacing w:before="240" w:after="120"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xml:space="preserve">9. </w:t>
      </w:r>
      <w:r w:rsidRPr="00454D44">
        <w:rPr>
          <w:rFonts w:ascii="Helvetica" w:eastAsia="Times New Roman" w:hAnsi="Helvetica" w:cs="Helvetica"/>
          <w:b/>
          <w:bCs/>
          <w:sz w:val="24"/>
          <w:szCs w:val="24"/>
          <w:u w:val="single"/>
        </w:rPr>
        <w:t>A NEW METER IS A NEW INSTRUMENT IN LAW, NOT AN ALTERED VERSION OF THE OLD ONE</w:t>
      </w:r>
    </w:p>
    <w:p w:rsidR="00454D44" w:rsidRPr="00454D44" w:rsidRDefault="00454D44" w:rsidP="00454D44">
      <w:pPr>
        <w:spacing w:before="100" w:before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Under the Legal Metrology Act 2009 and the Legal Metrology (General) Rules 2011, every electricity meter used for billing is required to be independently verified and stamped as that specific instrument.</w:t>
      </w:r>
    </w:p>
    <w:p w:rsidR="00454D44" w:rsidRPr="00454D44" w:rsidRDefault="00454D44" w:rsidP="00454D44">
      <w:pPr>
        <w:spacing w:after="80" w:line="240" w:lineRule="auto"/>
        <w:ind w:left="540"/>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i. verification attaches to the instrument itself, not to the meter reading function in the abstract. A smart meter is a separate instrument requiring its own independent verification; it does not inherit or continue the verification of the meter it replaces;</w:t>
      </w:r>
    </w:p>
    <w:p w:rsidR="00454D44" w:rsidRPr="00454D44" w:rsidRDefault="00454D44" w:rsidP="00454D44">
      <w:pPr>
        <w:spacing w:after="80" w:line="240" w:lineRule="auto"/>
        <w:ind w:left="540"/>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ii. this confirms, from a second and independent direction, that installation of a smart meter in place of an existing meter is the introduction of a new article, not an alteration of the article that was there before.</w:t>
      </w:r>
    </w:p>
    <w:p w:rsidR="00454D44" w:rsidRPr="00454D44" w:rsidRDefault="00454D44" w:rsidP="00454D44">
      <w:pPr>
        <w:spacing w:before="240" w:after="120"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xml:space="preserve">10. </w:t>
      </w:r>
      <w:r w:rsidRPr="00454D44">
        <w:rPr>
          <w:rFonts w:ascii="Helvetica" w:eastAsia="Times New Roman" w:hAnsi="Helvetica" w:cs="Helvetica"/>
          <w:b/>
          <w:bCs/>
          <w:sz w:val="24"/>
          <w:szCs w:val="24"/>
          <w:u w:val="single"/>
        </w:rPr>
        <w:t>SECTION 163 MUST BE CONSTRUED STRICTLY</w:t>
      </w:r>
    </w:p>
    <w:p w:rsidR="00454D44" w:rsidRPr="00454D44" w:rsidRDefault="00454D44" w:rsidP="00454D44">
      <w:pPr>
        <w:spacing w:before="100" w:before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Section 163 is a power of entry coupled with a coercive consequence, and must be construed strictly. Section 163(1) authorises entry upon private premises without the occupier's consent, and Section 163(3) attaches to it the coercive consequence of disconnection. A provision of this character, permitting interference with property and possession, and penalising non-compliance by cutting off an essential supply, must be read narrowly and in favour of the occupier, not stretched by implication to cover what the words do not say. Altering cannot silently be enlarged to mean removing and replacing merely because the licensee finds it convenient to invoke the same clause for both operations.</w:t>
      </w:r>
    </w:p>
    <w:p w:rsidR="00454D44" w:rsidRPr="00454D44" w:rsidRDefault="00454D44" w:rsidP="00454D44">
      <w:pPr>
        <w:spacing w:before="240" w:after="120"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xml:space="preserve">11. </w:t>
      </w:r>
      <w:r w:rsidRPr="00454D44">
        <w:rPr>
          <w:rFonts w:ascii="Helvetica" w:eastAsia="Times New Roman" w:hAnsi="Helvetica" w:cs="Helvetica"/>
          <w:b/>
          <w:bCs/>
          <w:sz w:val="24"/>
          <w:szCs w:val="24"/>
          <w:u w:val="single"/>
        </w:rPr>
        <w:t>PERSUASIVE SUPPORT</w:t>
      </w:r>
    </w:p>
    <w:p w:rsidR="00454D44" w:rsidRPr="00454D44" w:rsidRDefault="00454D44" w:rsidP="00454D44">
      <w:pPr>
        <w:spacing w:before="100" w:before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lastRenderedPageBreak/>
        <w:t>A Civil Judge in Himachal Pradesh, in an interim order dated 6 July 2026 in the matter of Jaimal Singh v. Sub-Divisional Officer, HPSEBL, Lamblu, restrained disconnection threatened under the Electricity Act for refusal to accept a smart meter, holding that the provisions of the Act cannot be interpreted to pressure a consumer into installing a smart meter or to disconnect supply for such refusal, and directed restoration of supply through the old meter. While an interim order of a subordinate court and not binding precedent, it supports the position taken here.</w:t>
      </w:r>
    </w:p>
    <w:p w:rsidR="00454D44" w:rsidRPr="00454D44" w:rsidRDefault="00454D44" w:rsidP="00454D44">
      <w:pPr>
        <w:spacing w:before="240" w:after="120"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xml:space="preserve">12. </w:t>
      </w:r>
      <w:r w:rsidRPr="00454D44">
        <w:rPr>
          <w:rFonts w:ascii="Helvetica" w:eastAsia="Times New Roman" w:hAnsi="Helvetica" w:cs="Helvetica"/>
          <w:b/>
          <w:bCs/>
          <w:sz w:val="24"/>
          <w:szCs w:val="24"/>
          <w:u w:val="single"/>
        </w:rPr>
        <w:t>CONSEQUENCE - FORGERY AND CHEATING</w:t>
      </w:r>
    </w:p>
    <w:p w:rsidR="00454D44" w:rsidRPr="00454D44" w:rsidRDefault="00454D44" w:rsidP="00454D44">
      <w:pPr>
        <w:spacing w:before="100" w:before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Preparation of a Section 163(3) notice against a consumer who has given full access for inspection, on the false premise that access or a statutorily authorised act was refused, for the actual purpose of compelling acceptance of an uncertified smart meter, amounts to the making of a false document within the meaning of Section 336(1), BNS, punishable under Section 336(2). Its use as though genuine, to threaten or effect disconnection, amounts to using a forged document as genuine under Section 340(2), BNS. Where such a notice is used to dishonestly induce the consumer to part with a right, namely continued lawful supply, or to accept an unlawful installation under threat of disconnection, it further attracts Section 318, BNS, being cheating.</w:t>
      </w:r>
    </w:p>
    <w:p w:rsidR="00454D44" w:rsidRPr="00454D44" w:rsidRDefault="00454D44" w:rsidP="00454D44">
      <w:pPr>
        <w:spacing w:before="240" w:after="120"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 xml:space="preserve">13. </w:t>
      </w:r>
      <w:r w:rsidRPr="00454D44">
        <w:rPr>
          <w:rFonts w:ascii="Helvetica" w:eastAsia="Times New Roman" w:hAnsi="Helvetica" w:cs="Helvetica"/>
          <w:b/>
          <w:bCs/>
          <w:sz w:val="24"/>
          <w:szCs w:val="24"/>
          <w:u w:val="single"/>
        </w:rPr>
        <w:t>SUMMARY</w:t>
      </w:r>
    </w:p>
    <w:p w:rsidR="00454D44" w:rsidRPr="00454D44" w:rsidRDefault="00454D44" w:rsidP="00454D44">
      <w:pPr>
        <w:spacing w:before="100" w:beforeAutospacing="1" w:line="240" w:lineRule="auto"/>
        <w:jc w:val="both"/>
        <w:rPr>
          <w:rFonts w:ascii="Helvetica" w:eastAsia="Times New Roman" w:hAnsi="Helvetica" w:cs="Helvetica"/>
          <w:b/>
          <w:bCs/>
          <w:sz w:val="20"/>
          <w:szCs w:val="20"/>
        </w:rPr>
      </w:pPr>
      <w:r w:rsidRPr="00454D44">
        <w:rPr>
          <w:rFonts w:ascii="Helvetica" w:eastAsia="Times New Roman" w:hAnsi="Helvetica" w:cs="Helvetica"/>
          <w:b/>
          <w:bCs/>
          <w:sz w:val="24"/>
          <w:szCs w:val="24"/>
        </w:rPr>
        <w:t>Section 163(3) protects access, not the licensee's choice of meter. Replacement of an existing, functioning and duly certified meter with a smart meter is not altering within the meaning of Section 163(1)(a); it is a distinct act, the extinguishment of one instrument and the introduction of another, for which Section 163(1) provides no power at all while supply continues. A notice issued under Section 163(3) against a consumer who gave access but refused only an uncertified smart meter is issued without jurisdiction, on a misstated factual foundation and on a meaning of altering the statute does not bear, and its preparation and use are independently actionable as forgery and cheating.</w:t>
      </w:r>
    </w:p>
    <w:p w:rsidR="00454D44" w:rsidRPr="00454D44" w:rsidRDefault="00454D44" w:rsidP="00454D44">
      <w:pPr>
        <w:spacing w:before="100" w:beforeAutospacing="1" w:after="100" w:afterAutospacing="1" w:line="240" w:lineRule="auto"/>
        <w:rPr>
          <w:rFonts w:ascii="Helvetica" w:eastAsia="Times New Roman" w:hAnsi="Helvetica" w:cs="Helvetica"/>
          <w:b/>
          <w:bCs/>
          <w:sz w:val="20"/>
          <w:szCs w:val="20"/>
        </w:rPr>
      </w:pPr>
      <w:r w:rsidRPr="00454D44">
        <w:rPr>
          <w:rFonts w:ascii="Helvetica" w:eastAsia="Times New Roman" w:hAnsi="Helvetica" w:cs="Helvetica"/>
          <w:b/>
          <w:bCs/>
          <w:sz w:val="24"/>
          <w:szCs w:val="24"/>
        </w:rPr>
        <w:t> </w:t>
      </w:r>
    </w:p>
    <w:p w:rsidR="00454D44" w:rsidRPr="00454D44" w:rsidRDefault="00454D44" w:rsidP="00454D44">
      <w:pPr>
        <w:spacing w:after="0" w:line="240" w:lineRule="auto"/>
        <w:rPr>
          <w:rFonts w:ascii="Helvetica" w:eastAsia="Times New Roman" w:hAnsi="Helvetica" w:cs="Helvetica"/>
          <w:sz w:val="20"/>
          <w:szCs w:val="20"/>
        </w:rPr>
      </w:pPr>
    </w:p>
    <w:p w:rsidR="00454D44" w:rsidRPr="00454D44" w:rsidRDefault="00454D44" w:rsidP="00454D44">
      <w:pPr>
        <w:spacing w:after="0" w:line="240" w:lineRule="auto"/>
        <w:rPr>
          <w:rFonts w:ascii="Helvetica" w:eastAsia="Times New Roman" w:hAnsi="Helvetica" w:cs="Helvetica"/>
          <w:sz w:val="20"/>
          <w:szCs w:val="20"/>
        </w:rPr>
      </w:pPr>
    </w:p>
    <w:p w:rsidR="00480CAB" w:rsidRDefault="00480CAB">
      <w:bookmarkStart w:id="0" w:name="_GoBack"/>
      <w:bookmarkEnd w:id="0"/>
    </w:p>
    <w:sectPr w:rsidR="00480C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0D7F"/>
    <w:multiLevelType w:val="multilevel"/>
    <w:tmpl w:val="F17E149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2215291A"/>
    <w:multiLevelType w:val="multilevel"/>
    <w:tmpl w:val="00BC6E3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D44"/>
    <w:rsid w:val="00454D44"/>
    <w:rsid w:val="00480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F8795E-6A5D-4C11-BEA5-078C2802D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163227">
      <w:bodyDiv w:val="1"/>
      <w:marLeft w:val="0"/>
      <w:marRight w:val="0"/>
      <w:marTop w:val="0"/>
      <w:marBottom w:val="0"/>
      <w:divBdr>
        <w:top w:val="none" w:sz="0" w:space="0" w:color="auto"/>
        <w:left w:val="none" w:sz="0" w:space="0" w:color="auto"/>
        <w:bottom w:val="none" w:sz="0" w:space="0" w:color="auto"/>
        <w:right w:val="none" w:sz="0" w:space="0" w:color="auto"/>
      </w:divBdr>
      <w:divsChild>
        <w:div w:id="468783298">
          <w:marLeft w:val="0"/>
          <w:marRight w:val="0"/>
          <w:marTop w:val="0"/>
          <w:marBottom w:val="0"/>
          <w:divBdr>
            <w:top w:val="none" w:sz="0" w:space="0" w:color="auto"/>
            <w:left w:val="none" w:sz="0" w:space="0" w:color="auto"/>
            <w:bottom w:val="none" w:sz="0" w:space="0" w:color="auto"/>
            <w:right w:val="none" w:sz="0" w:space="0" w:color="auto"/>
          </w:divBdr>
        </w:div>
        <w:div w:id="1775975765">
          <w:marLeft w:val="0"/>
          <w:marRight w:val="0"/>
          <w:marTop w:val="0"/>
          <w:marBottom w:val="0"/>
          <w:divBdr>
            <w:top w:val="none" w:sz="0" w:space="0" w:color="auto"/>
            <w:left w:val="none" w:sz="0" w:space="0" w:color="auto"/>
            <w:bottom w:val="none" w:sz="0" w:space="0" w:color="auto"/>
            <w:right w:val="none" w:sz="0" w:space="0" w:color="auto"/>
          </w:divBdr>
        </w:div>
        <w:div w:id="181743905">
          <w:marLeft w:val="0"/>
          <w:marRight w:val="0"/>
          <w:marTop w:val="0"/>
          <w:marBottom w:val="0"/>
          <w:divBdr>
            <w:top w:val="none" w:sz="0" w:space="0" w:color="auto"/>
            <w:left w:val="none" w:sz="0" w:space="0" w:color="auto"/>
            <w:bottom w:val="none" w:sz="0" w:space="0" w:color="auto"/>
            <w:right w:val="none" w:sz="0" w:space="0" w:color="auto"/>
          </w:divBdr>
        </w:div>
        <w:div w:id="1557743642">
          <w:marLeft w:val="0"/>
          <w:marRight w:val="0"/>
          <w:marTop w:val="0"/>
          <w:marBottom w:val="0"/>
          <w:divBdr>
            <w:top w:val="none" w:sz="0" w:space="0" w:color="auto"/>
            <w:left w:val="none" w:sz="0" w:space="0" w:color="auto"/>
            <w:bottom w:val="none" w:sz="0" w:space="0" w:color="auto"/>
            <w:right w:val="none" w:sz="0" w:space="0" w:color="auto"/>
          </w:divBdr>
        </w:div>
        <w:div w:id="623385505">
          <w:marLeft w:val="0"/>
          <w:marRight w:val="0"/>
          <w:marTop w:val="0"/>
          <w:marBottom w:val="0"/>
          <w:divBdr>
            <w:top w:val="none" w:sz="0" w:space="0" w:color="auto"/>
            <w:left w:val="none" w:sz="0" w:space="0" w:color="auto"/>
            <w:bottom w:val="none" w:sz="0" w:space="0" w:color="auto"/>
            <w:right w:val="none" w:sz="0" w:space="0" w:color="auto"/>
          </w:divBdr>
        </w:div>
        <w:div w:id="1887906093">
          <w:marLeft w:val="0"/>
          <w:marRight w:val="0"/>
          <w:marTop w:val="0"/>
          <w:marBottom w:val="0"/>
          <w:divBdr>
            <w:top w:val="none" w:sz="0" w:space="0" w:color="auto"/>
            <w:left w:val="none" w:sz="0" w:space="0" w:color="auto"/>
            <w:bottom w:val="none" w:sz="0" w:space="0" w:color="auto"/>
            <w:right w:val="none" w:sz="0" w:space="0" w:color="auto"/>
          </w:divBdr>
        </w:div>
        <w:div w:id="1006515332">
          <w:marLeft w:val="0"/>
          <w:marRight w:val="0"/>
          <w:marTop w:val="0"/>
          <w:marBottom w:val="0"/>
          <w:divBdr>
            <w:top w:val="none" w:sz="0" w:space="0" w:color="auto"/>
            <w:left w:val="none" w:sz="0" w:space="0" w:color="auto"/>
            <w:bottom w:val="none" w:sz="0" w:space="0" w:color="auto"/>
            <w:right w:val="none" w:sz="0" w:space="0" w:color="auto"/>
          </w:divBdr>
        </w:div>
        <w:div w:id="964431176">
          <w:marLeft w:val="0"/>
          <w:marRight w:val="0"/>
          <w:marTop w:val="0"/>
          <w:marBottom w:val="0"/>
          <w:divBdr>
            <w:top w:val="none" w:sz="0" w:space="0" w:color="auto"/>
            <w:left w:val="none" w:sz="0" w:space="0" w:color="auto"/>
            <w:bottom w:val="none" w:sz="0" w:space="0" w:color="auto"/>
            <w:right w:val="none" w:sz="0" w:space="0" w:color="auto"/>
          </w:divBdr>
        </w:div>
        <w:div w:id="7945590">
          <w:marLeft w:val="0"/>
          <w:marRight w:val="0"/>
          <w:marTop w:val="0"/>
          <w:marBottom w:val="0"/>
          <w:divBdr>
            <w:top w:val="none" w:sz="0" w:space="0" w:color="auto"/>
            <w:left w:val="none" w:sz="0" w:space="0" w:color="auto"/>
            <w:bottom w:val="none" w:sz="0" w:space="0" w:color="auto"/>
            <w:right w:val="none" w:sz="0" w:space="0" w:color="auto"/>
          </w:divBdr>
        </w:div>
        <w:div w:id="17858521">
          <w:marLeft w:val="0"/>
          <w:marRight w:val="0"/>
          <w:marTop w:val="0"/>
          <w:marBottom w:val="0"/>
          <w:divBdr>
            <w:top w:val="none" w:sz="0" w:space="0" w:color="auto"/>
            <w:left w:val="none" w:sz="0" w:space="0" w:color="auto"/>
            <w:bottom w:val="none" w:sz="0" w:space="0" w:color="auto"/>
            <w:right w:val="none" w:sz="0" w:space="0" w:color="auto"/>
          </w:divBdr>
        </w:div>
        <w:div w:id="1475756945">
          <w:marLeft w:val="0"/>
          <w:marRight w:val="0"/>
          <w:marTop w:val="0"/>
          <w:marBottom w:val="0"/>
          <w:divBdr>
            <w:top w:val="none" w:sz="0" w:space="0" w:color="auto"/>
            <w:left w:val="none" w:sz="0" w:space="0" w:color="auto"/>
            <w:bottom w:val="none" w:sz="0" w:space="0" w:color="auto"/>
            <w:right w:val="none" w:sz="0" w:space="0" w:color="auto"/>
          </w:divBdr>
        </w:div>
        <w:div w:id="1005203607">
          <w:marLeft w:val="0"/>
          <w:marRight w:val="0"/>
          <w:marTop w:val="0"/>
          <w:marBottom w:val="0"/>
          <w:divBdr>
            <w:top w:val="none" w:sz="0" w:space="0" w:color="auto"/>
            <w:left w:val="none" w:sz="0" w:space="0" w:color="auto"/>
            <w:bottom w:val="none" w:sz="0" w:space="0" w:color="auto"/>
            <w:right w:val="none" w:sz="0" w:space="0" w:color="auto"/>
          </w:divBdr>
        </w:div>
        <w:div w:id="639656498">
          <w:marLeft w:val="0"/>
          <w:marRight w:val="0"/>
          <w:marTop w:val="0"/>
          <w:marBottom w:val="0"/>
          <w:divBdr>
            <w:top w:val="none" w:sz="0" w:space="0" w:color="auto"/>
            <w:left w:val="none" w:sz="0" w:space="0" w:color="auto"/>
            <w:bottom w:val="none" w:sz="0" w:space="0" w:color="auto"/>
            <w:right w:val="none" w:sz="0" w:space="0" w:color="auto"/>
          </w:divBdr>
        </w:div>
        <w:div w:id="34088203">
          <w:marLeft w:val="0"/>
          <w:marRight w:val="0"/>
          <w:marTop w:val="0"/>
          <w:marBottom w:val="0"/>
          <w:divBdr>
            <w:top w:val="none" w:sz="0" w:space="0" w:color="auto"/>
            <w:left w:val="none" w:sz="0" w:space="0" w:color="auto"/>
            <w:bottom w:val="none" w:sz="0" w:space="0" w:color="auto"/>
            <w:right w:val="none" w:sz="0" w:space="0" w:color="auto"/>
          </w:divBdr>
          <w:divsChild>
            <w:div w:id="706834880">
              <w:marLeft w:val="0"/>
              <w:marRight w:val="0"/>
              <w:marTop w:val="0"/>
              <w:marBottom w:val="0"/>
              <w:divBdr>
                <w:top w:val="none" w:sz="0" w:space="0" w:color="auto"/>
                <w:left w:val="none" w:sz="0" w:space="0" w:color="auto"/>
                <w:bottom w:val="none" w:sz="0" w:space="0" w:color="auto"/>
                <w:right w:val="none" w:sz="0" w:space="0" w:color="auto"/>
              </w:divBdr>
              <w:divsChild>
                <w:div w:id="1285847164">
                  <w:marLeft w:val="0"/>
                  <w:marRight w:val="0"/>
                  <w:marTop w:val="0"/>
                  <w:marBottom w:val="0"/>
                  <w:divBdr>
                    <w:top w:val="none" w:sz="0" w:space="0" w:color="auto"/>
                    <w:left w:val="none" w:sz="0" w:space="0" w:color="auto"/>
                    <w:bottom w:val="none" w:sz="0" w:space="0" w:color="auto"/>
                    <w:right w:val="none" w:sz="0" w:space="0" w:color="auto"/>
                  </w:divBdr>
                </w:div>
                <w:div w:id="1480684600">
                  <w:marLeft w:val="0"/>
                  <w:marRight w:val="0"/>
                  <w:marTop w:val="0"/>
                  <w:marBottom w:val="0"/>
                  <w:divBdr>
                    <w:top w:val="none" w:sz="0" w:space="0" w:color="auto"/>
                    <w:left w:val="none" w:sz="0" w:space="0" w:color="auto"/>
                    <w:bottom w:val="none" w:sz="0" w:space="0" w:color="auto"/>
                    <w:right w:val="none" w:sz="0" w:space="0" w:color="auto"/>
                  </w:divBdr>
                </w:div>
                <w:div w:id="865484315">
                  <w:marLeft w:val="0"/>
                  <w:marRight w:val="0"/>
                  <w:marTop w:val="0"/>
                  <w:marBottom w:val="0"/>
                  <w:divBdr>
                    <w:top w:val="none" w:sz="0" w:space="0" w:color="auto"/>
                    <w:left w:val="none" w:sz="0" w:space="0" w:color="auto"/>
                    <w:bottom w:val="none" w:sz="0" w:space="0" w:color="auto"/>
                    <w:right w:val="none" w:sz="0" w:space="0" w:color="auto"/>
                  </w:divBdr>
                </w:div>
                <w:div w:id="1060127761">
                  <w:marLeft w:val="0"/>
                  <w:marRight w:val="0"/>
                  <w:marTop w:val="0"/>
                  <w:marBottom w:val="0"/>
                  <w:divBdr>
                    <w:top w:val="none" w:sz="0" w:space="0" w:color="auto"/>
                    <w:left w:val="none" w:sz="0" w:space="0" w:color="auto"/>
                    <w:bottom w:val="none" w:sz="0" w:space="0" w:color="auto"/>
                    <w:right w:val="none" w:sz="0" w:space="0" w:color="auto"/>
                  </w:divBdr>
                </w:div>
                <w:div w:id="703166934">
                  <w:marLeft w:val="0"/>
                  <w:marRight w:val="0"/>
                  <w:marTop w:val="0"/>
                  <w:marBottom w:val="0"/>
                  <w:divBdr>
                    <w:top w:val="none" w:sz="0" w:space="0" w:color="auto"/>
                    <w:left w:val="none" w:sz="0" w:space="0" w:color="auto"/>
                    <w:bottom w:val="none" w:sz="0" w:space="0" w:color="auto"/>
                    <w:right w:val="none" w:sz="0" w:space="0" w:color="auto"/>
                  </w:divBdr>
                  <w:divsChild>
                    <w:div w:id="2144619189">
                      <w:marLeft w:val="0"/>
                      <w:marRight w:val="0"/>
                      <w:marTop w:val="0"/>
                      <w:marBottom w:val="0"/>
                      <w:divBdr>
                        <w:top w:val="none" w:sz="0" w:space="0" w:color="auto"/>
                        <w:left w:val="none" w:sz="0" w:space="0" w:color="auto"/>
                        <w:bottom w:val="none" w:sz="0" w:space="0" w:color="auto"/>
                        <w:right w:val="none" w:sz="0" w:space="0" w:color="auto"/>
                      </w:divBdr>
                      <w:divsChild>
                        <w:div w:id="2015841495">
                          <w:marLeft w:val="0"/>
                          <w:marRight w:val="0"/>
                          <w:marTop w:val="0"/>
                          <w:marBottom w:val="0"/>
                          <w:divBdr>
                            <w:top w:val="none" w:sz="0" w:space="0" w:color="auto"/>
                            <w:left w:val="none" w:sz="0" w:space="0" w:color="auto"/>
                            <w:bottom w:val="none" w:sz="0" w:space="0" w:color="auto"/>
                            <w:right w:val="none" w:sz="0" w:space="0" w:color="auto"/>
                          </w:divBdr>
                          <w:divsChild>
                            <w:div w:id="755831986">
                              <w:marLeft w:val="0"/>
                              <w:marRight w:val="0"/>
                              <w:marTop w:val="0"/>
                              <w:marBottom w:val="0"/>
                              <w:divBdr>
                                <w:top w:val="none" w:sz="0" w:space="0" w:color="auto"/>
                                <w:left w:val="none" w:sz="0" w:space="0" w:color="auto"/>
                                <w:bottom w:val="none" w:sz="0" w:space="0" w:color="auto"/>
                                <w:right w:val="none" w:sz="0" w:space="0" w:color="auto"/>
                              </w:divBdr>
                              <w:divsChild>
                                <w:div w:id="1926844826">
                                  <w:marLeft w:val="0"/>
                                  <w:marRight w:val="0"/>
                                  <w:marTop w:val="0"/>
                                  <w:marBottom w:val="0"/>
                                  <w:divBdr>
                                    <w:top w:val="none" w:sz="0" w:space="0" w:color="auto"/>
                                    <w:left w:val="none" w:sz="0" w:space="0" w:color="auto"/>
                                    <w:bottom w:val="none" w:sz="0" w:space="0" w:color="auto"/>
                                    <w:right w:val="none" w:sz="0" w:space="0" w:color="auto"/>
                                  </w:divBdr>
                                  <w:divsChild>
                                    <w:div w:id="1814909215">
                                      <w:marLeft w:val="0"/>
                                      <w:marRight w:val="0"/>
                                      <w:marTop w:val="0"/>
                                      <w:marBottom w:val="0"/>
                                      <w:divBdr>
                                        <w:top w:val="single" w:sz="8" w:space="0" w:color="000000"/>
                                        <w:left w:val="none" w:sz="0" w:space="0" w:color="auto"/>
                                        <w:bottom w:val="single" w:sz="8" w:space="0" w:color="000000"/>
                                        <w:right w:val="none" w:sz="0" w:space="0" w:color="auto"/>
                                      </w:divBdr>
                                    </w:div>
                                  </w:divsChild>
                                </w:div>
                              </w:divsChild>
                            </w:div>
                            <w:div w:id="1926525592">
                              <w:marLeft w:val="0"/>
                              <w:marRight w:val="0"/>
                              <w:marTop w:val="0"/>
                              <w:marBottom w:val="0"/>
                              <w:divBdr>
                                <w:top w:val="none" w:sz="0" w:space="0" w:color="auto"/>
                                <w:left w:val="none" w:sz="0" w:space="0" w:color="auto"/>
                                <w:bottom w:val="none" w:sz="0" w:space="0" w:color="auto"/>
                                <w:right w:val="none" w:sz="0" w:space="0" w:color="auto"/>
                              </w:divBdr>
                            </w:div>
                            <w:div w:id="150840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1636</Words>
  <Characters>9326</Characters>
  <Application>Microsoft Office Word</Application>
  <DocSecurity>0</DocSecurity>
  <Lines>77</Lines>
  <Paragraphs>21</Paragraphs>
  <ScaleCrop>false</ScaleCrop>
  <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2026-08-24T10:59:00Z</dcterms:created>
  <dcterms:modified xsi:type="dcterms:W3CDTF">2026-08-24T11:01:00Z</dcterms:modified>
</cp:coreProperties>
</file>